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Times New Roman" w:hAnsi="仿宋" w:eastAsia="仿宋"/>
          <w:color w:val="auto"/>
          <w:sz w:val="32"/>
          <w:szCs w:val="32"/>
        </w:rPr>
      </w:pPr>
      <w:r>
        <w:rPr>
          <w:rFonts w:hint="eastAsia" w:ascii="Times New Roman" w:hAnsi="仿宋" w:eastAsia="仿宋"/>
          <w:color w:val="auto"/>
          <w:sz w:val="32"/>
          <w:szCs w:val="32"/>
        </w:rPr>
        <w:t>附件</w:t>
      </w:r>
    </w:p>
    <w:p>
      <w:pPr>
        <w:spacing w:line="510" w:lineRule="exact"/>
        <w:rPr>
          <w:rFonts w:ascii="Times New Roman" w:hAnsi="仿宋" w:eastAsia="仿宋"/>
          <w:color w:val="auto"/>
          <w:sz w:val="32"/>
          <w:szCs w:val="32"/>
        </w:rPr>
      </w:pPr>
    </w:p>
    <w:p>
      <w:pPr>
        <w:spacing w:line="560" w:lineRule="exact"/>
        <w:jc w:val="center"/>
        <w:rPr>
          <w:rFonts w:ascii="方正小标宋_GBK" w:eastAsia="方正小标宋_GBK"/>
          <w:color w:val="auto"/>
          <w:sz w:val="44"/>
          <w:szCs w:val="44"/>
        </w:rPr>
      </w:pPr>
      <w:r>
        <w:rPr>
          <w:rFonts w:hint="eastAsia" w:ascii="方正小标宋_GBK" w:eastAsia="方正小标宋_GBK"/>
          <w:color w:val="auto"/>
          <w:sz w:val="44"/>
          <w:szCs w:val="44"/>
        </w:rPr>
        <w:t>中马钦州产业园区中马广场一期项目基本建设工程竣工财务决算审计服务公开比选文件</w:t>
      </w:r>
    </w:p>
    <w:p>
      <w:pPr>
        <w:spacing w:line="540" w:lineRule="exact"/>
        <w:ind w:firstLine="640" w:firstLineChars="200"/>
        <w:rPr>
          <w:rFonts w:ascii="Times New Roman" w:hAnsi="仿宋" w:eastAsia="仿宋"/>
          <w:color w:val="auto"/>
          <w:sz w:val="32"/>
          <w:szCs w:val="32"/>
        </w:rPr>
      </w:pPr>
    </w:p>
    <w:p>
      <w:pPr>
        <w:spacing w:line="540" w:lineRule="exact"/>
        <w:ind w:firstLine="640" w:firstLineChars="200"/>
        <w:rPr>
          <w:rFonts w:ascii="Times New Roman" w:hAnsi="Times New Roman" w:eastAsia="仿宋"/>
          <w:color w:val="auto"/>
          <w:sz w:val="32"/>
          <w:szCs w:val="32"/>
        </w:rPr>
      </w:pPr>
      <w:r>
        <w:rPr>
          <w:rFonts w:hint="eastAsia" w:ascii="Times New Roman" w:hAnsi="仿宋" w:eastAsia="仿宋"/>
          <w:color w:val="auto"/>
          <w:sz w:val="32"/>
          <w:szCs w:val="32"/>
        </w:rPr>
        <w:t>我公司下属子公司“广西孔雀湾投资开发有限公司”拟对中马钦州产业园区中马广场一期项目基本建设工程竣工财务决算审计服务事项通过公开比选选聘会计师事务所</w:t>
      </w:r>
      <w:r>
        <w:rPr>
          <w:rFonts w:ascii="Times New Roman" w:hAnsi="仿宋" w:eastAsia="仿宋"/>
          <w:color w:val="auto"/>
          <w:sz w:val="32"/>
          <w:szCs w:val="32"/>
        </w:rPr>
        <w:t>，具体事项如下：</w:t>
      </w:r>
    </w:p>
    <w:p>
      <w:pPr>
        <w:spacing w:line="540" w:lineRule="exact"/>
        <w:ind w:firstLine="640" w:firstLineChars="200"/>
        <w:rPr>
          <w:rFonts w:ascii="黑体" w:hAnsi="黑体" w:eastAsia="黑体"/>
          <w:color w:val="auto"/>
          <w:sz w:val="32"/>
          <w:szCs w:val="32"/>
        </w:rPr>
      </w:pPr>
      <w:r>
        <w:rPr>
          <w:rFonts w:ascii="黑体" w:hAnsi="黑体" w:eastAsia="黑体"/>
          <w:color w:val="auto"/>
          <w:sz w:val="32"/>
          <w:szCs w:val="32"/>
        </w:rPr>
        <w:t>一、项目基本情况</w:t>
      </w:r>
    </w:p>
    <w:p>
      <w:pPr>
        <w:spacing w:line="540" w:lineRule="exact"/>
        <w:ind w:firstLine="640" w:firstLineChars="200"/>
        <w:rPr>
          <w:rFonts w:hint="eastAsia" w:ascii="Times New Roman" w:hAnsi="仿宋" w:eastAsia="仿宋"/>
          <w:color w:val="auto"/>
          <w:sz w:val="32"/>
          <w:szCs w:val="32"/>
        </w:rPr>
      </w:pPr>
      <w:r>
        <w:rPr>
          <w:rFonts w:hint="eastAsia" w:ascii="Times New Roman" w:hAnsi="仿宋" w:eastAsia="仿宋"/>
          <w:color w:val="auto"/>
          <w:sz w:val="32"/>
          <w:szCs w:val="32"/>
        </w:rPr>
        <w:t>中马广场项目（一期）投资约4亿元，主要建设住宅、写字楼、商业及酒店，建筑面积约8.6万平方米，2014年12月开工建设，于2019年10月31日竣工。</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中马广场一期项目基本建设工程竣工财务决算审计服务预算控制价为6万元。</w:t>
      </w:r>
    </w:p>
    <w:p>
      <w:pPr>
        <w:numPr>
          <w:ilvl w:val="255"/>
          <w:numId w:val="0"/>
        </w:numPr>
        <w:spacing w:line="540" w:lineRule="exact"/>
        <w:ind w:firstLine="640" w:firstLineChars="200"/>
        <w:jc w:val="left"/>
        <w:rPr>
          <w:rFonts w:ascii="黑体" w:hAnsi="黑体" w:eastAsia="黑体"/>
          <w:color w:val="auto"/>
          <w:sz w:val="32"/>
          <w:szCs w:val="32"/>
        </w:rPr>
      </w:pPr>
      <w:r>
        <w:rPr>
          <w:rFonts w:ascii="黑体" w:hAnsi="黑体" w:eastAsia="黑体"/>
          <w:color w:val="auto"/>
          <w:sz w:val="32"/>
          <w:szCs w:val="32"/>
        </w:rPr>
        <w:t>二、报价单位要求</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（一）资格要求：报价单位须具备经财政部门批准设立的会计师事务所执业证书。</w:t>
      </w:r>
    </w:p>
    <w:p>
      <w:pPr>
        <w:spacing w:line="540" w:lineRule="exact"/>
        <w:ind w:firstLine="640"/>
        <w:jc w:val="left"/>
        <w:rPr>
          <w:rFonts w:hint="eastAsia" w:hAnsi="仿宋" w:eastAsia="仿宋"/>
          <w:color w:val="auto"/>
          <w:sz w:val="32"/>
          <w:szCs w:val="32"/>
        </w:rPr>
      </w:pPr>
      <w:r>
        <w:rPr>
          <w:rFonts w:hint="eastAsia" w:hAnsi="仿宋" w:eastAsia="仿宋"/>
          <w:color w:val="auto"/>
          <w:sz w:val="32"/>
          <w:szCs w:val="32"/>
        </w:rPr>
        <w:t>（二）业绩要求：近两年类似财务决算审计业绩不少于2例。</w:t>
      </w:r>
    </w:p>
    <w:p>
      <w:pPr>
        <w:spacing w:line="540" w:lineRule="exact"/>
        <w:ind w:firstLine="640"/>
        <w:jc w:val="left"/>
        <w:rPr>
          <w:rFonts w:hint="eastAsia" w:hAnsi="仿宋" w:eastAsia="仿宋"/>
          <w:color w:val="auto"/>
          <w:sz w:val="32"/>
          <w:szCs w:val="32"/>
          <w:lang w:eastAsia="zh-CN"/>
        </w:rPr>
      </w:pPr>
      <w:r>
        <w:rPr>
          <w:rFonts w:hint="eastAsia" w:hAnsi="仿宋" w:eastAsia="仿宋"/>
          <w:color w:val="auto"/>
          <w:sz w:val="32"/>
          <w:szCs w:val="32"/>
          <w:lang w:eastAsia="zh-CN"/>
        </w:rPr>
        <w:t>（三）人员要求：拟投入项目负责人须具备注册会计师证。</w:t>
      </w:r>
    </w:p>
    <w:p>
      <w:pPr>
        <w:spacing w:line="540" w:lineRule="exact"/>
        <w:ind w:firstLine="640" w:firstLineChars="200"/>
        <w:rPr>
          <w:rFonts w:ascii="黑体" w:hAnsi="黑体" w:eastAsia="黑体"/>
          <w:color w:val="auto"/>
          <w:sz w:val="32"/>
          <w:szCs w:val="32"/>
        </w:rPr>
      </w:pPr>
      <w:r>
        <w:rPr>
          <w:rFonts w:ascii="黑体" w:hAnsi="黑体" w:eastAsia="黑体"/>
          <w:color w:val="auto"/>
          <w:sz w:val="32"/>
          <w:szCs w:val="32"/>
        </w:rPr>
        <w:t>三、比选须知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hAnsi="仿宋" w:eastAsia="仿宋"/>
          <w:color w:val="auto"/>
          <w:sz w:val="32"/>
          <w:szCs w:val="32"/>
          <w:lang w:eastAsia="zh-CN"/>
        </w:rPr>
      </w:pPr>
      <w:r>
        <w:rPr>
          <w:rFonts w:hint="eastAsia" w:ascii="Times New Roman" w:hAnsi="仿宋" w:eastAsia="仿宋"/>
          <w:color w:val="auto"/>
          <w:sz w:val="32"/>
          <w:szCs w:val="32"/>
          <w:lang w:eastAsia="zh-CN"/>
        </w:rPr>
        <w:t>（一）</w:t>
      </w:r>
      <w:r>
        <w:rPr>
          <w:rFonts w:hint="eastAsia" w:hAnsi="仿宋" w:eastAsia="仿宋"/>
          <w:color w:val="auto"/>
          <w:sz w:val="32"/>
          <w:szCs w:val="32"/>
        </w:rPr>
        <w:t>比选采购范围：</w:t>
      </w:r>
      <w:r>
        <w:rPr>
          <w:rFonts w:hint="eastAsia" w:hAnsi="仿宋" w:eastAsia="仿宋"/>
          <w:color w:val="auto"/>
          <w:sz w:val="32"/>
          <w:szCs w:val="32"/>
          <w:lang w:eastAsia="zh-CN"/>
        </w:rPr>
        <w:t>中马钦州产业园区中马广场一期项目基本建设工程竣工财务决算审计服务。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hAnsi="仿宋" w:eastAsia="仿宋"/>
          <w:color w:val="auto"/>
          <w:sz w:val="32"/>
          <w:szCs w:val="32"/>
          <w:lang w:val="en-US" w:eastAsia="zh-CN"/>
        </w:rPr>
      </w:pPr>
      <w:r>
        <w:rPr>
          <w:rFonts w:hint="eastAsia" w:hAnsi="仿宋" w:eastAsia="仿宋"/>
          <w:color w:val="auto"/>
          <w:sz w:val="32"/>
          <w:szCs w:val="32"/>
          <w:lang w:eastAsia="zh-CN"/>
        </w:rPr>
        <w:t>（二）工期要求：合同签订之日起</w:t>
      </w:r>
      <w:r>
        <w:rPr>
          <w:rFonts w:hint="eastAsia" w:hAnsi="仿宋" w:eastAsia="仿宋"/>
          <w:color w:val="auto"/>
          <w:sz w:val="32"/>
          <w:szCs w:val="32"/>
          <w:lang w:val="en-US" w:eastAsia="zh-CN"/>
        </w:rPr>
        <w:t>30日内出具审计报告。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Ansi="仿宋" w:eastAsia="仿宋"/>
          <w:color w:val="auto"/>
          <w:sz w:val="32"/>
          <w:szCs w:val="32"/>
        </w:rPr>
      </w:pPr>
      <w:r>
        <w:rPr>
          <w:rFonts w:hAnsi="仿宋" w:eastAsia="仿宋"/>
          <w:color w:val="auto"/>
          <w:sz w:val="32"/>
          <w:szCs w:val="32"/>
        </w:rPr>
        <w:t>（</w:t>
      </w:r>
      <w:r>
        <w:rPr>
          <w:rFonts w:hint="eastAsia" w:hAnsi="仿宋" w:eastAsia="仿宋"/>
          <w:color w:val="auto"/>
          <w:sz w:val="32"/>
          <w:szCs w:val="32"/>
          <w:lang w:eastAsia="zh-CN"/>
        </w:rPr>
        <w:t>三</w:t>
      </w:r>
      <w:r>
        <w:rPr>
          <w:rFonts w:hAnsi="仿宋" w:eastAsia="仿宋"/>
          <w:color w:val="auto"/>
          <w:sz w:val="32"/>
          <w:szCs w:val="32"/>
        </w:rPr>
        <w:t>）接收报价文件截止日期：至</w:t>
      </w:r>
      <w:r>
        <w:rPr>
          <w:rFonts w:eastAsia="仿宋"/>
          <w:color w:val="auto"/>
          <w:sz w:val="32"/>
          <w:szCs w:val="32"/>
        </w:rPr>
        <w:t>20</w:t>
      </w:r>
      <w:r>
        <w:rPr>
          <w:rFonts w:hint="eastAsia" w:eastAsia="仿宋"/>
          <w:color w:val="auto"/>
          <w:sz w:val="32"/>
          <w:szCs w:val="32"/>
          <w:lang w:val="en-US" w:eastAsia="zh-CN"/>
        </w:rPr>
        <w:t>21</w:t>
      </w:r>
      <w:r>
        <w:rPr>
          <w:rFonts w:hAnsi="仿宋" w:eastAsia="仿宋"/>
          <w:color w:val="auto"/>
          <w:sz w:val="32"/>
          <w:szCs w:val="32"/>
        </w:rPr>
        <w:t>年</w:t>
      </w:r>
      <w:r>
        <w:rPr>
          <w:rFonts w:hint="eastAsia" w:hAnsi="仿宋" w:eastAsia="仿宋"/>
          <w:color w:val="auto"/>
          <w:sz w:val="32"/>
          <w:szCs w:val="32"/>
          <w:lang w:val="en-US" w:eastAsia="zh-CN"/>
        </w:rPr>
        <w:t>10</w:t>
      </w:r>
      <w:r>
        <w:rPr>
          <w:rFonts w:hAnsi="仿宋" w:eastAsia="仿宋"/>
          <w:color w:val="auto"/>
          <w:sz w:val="32"/>
          <w:szCs w:val="32"/>
        </w:rPr>
        <w:t>月</w:t>
      </w:r>
      <w:r>
        <w:rPr>
          <w:rFonts w:hint="eastAsia" w:hAnsi="仿宋" w:eastAsia="仿宋"/>
          <w:color w:val="auto"/>
          <w:sz w:val="32"/>
          <w:szCs w:val="32"/>
          <w:lang w:val="en-US" w:eastAsia="zh-CN"/>
        </w:rPr>
        <w:t>26</w:t>
      </w:r>
      <w:r>
        <w:rPr>
          <w:rFonts w:hAnsi="仿宋" w:eastAsia="仿宋"/>
          <w:color w:val="auto"/>
          <w:sz w:val="32"/>
          <w:szCs w:val="32"/>
        </w:rPr>
        <w:t>日</w:t>
      </w:r>
      <w:r>
        <w:rPr>
          <w:rFonts w:eastAsia="仿宋"/>
          <w:color w:val="auto"/>
          <w:sz w:val="32"/>
          <w:szCs w:val="32"/>
        </w:rPr>
        <w:t>1</w:t>
      </w:r>
      <w:r>
        <w:rPr>
          <w:rFonts w:hint="eastAsia" w:eastAsia="仿宋"/>
          <w:color w:val="auto"/>
          <w:sz w:val="32"/>
          <w:szCs w:val="32"/>
          <w:lang w:val="en-US" w:eastAsia="zh-CN"/>
        </w:rPr>
        <w:t>8</w:t>
      </w:r>
      <w:r>
        <w:rPr>
          <w:rFonts w:eastAsia="仿宋"/>
          <w:color w:val="auto"/>
          <w:sz w:val="32"/>
          <w:szCs w:val="32"/>
        </w:rPr>
        <w:t>:00</w:t>
      </w:r>
      <w:r>
        <w:rPr>
          <w:rFonts w:hAnsi="仿宋" w:eastAsia="仿宋"/>
          <w:color w:val="auto"/>
          <w:sz w:val="32"/>
          <w:szCs w:val="32"/>
        </w:rPr>
        <w:t>止。</w:t>
      </w:r>
    </w:p>
    <w:p>
      <w:pPr>
        <w:spacing w:line="540" w:lineRule="exact"/>
        <w:ind w:firstLine="640" w:firstLineChars="200"/>
        <w:rPr>
          <w:rFonts w:eastAsia="仿宋"/>
          <w:color w:val="auto"/>
          <w:sz w:val="32"/>
          <w:szCs w:val="32"/>
        </w:rPr>
      </w:pPr>
      <w:r>
        <w:rPr>
          <w:rFonts w:hAnsi="仿宋" w:eastAsia="仿宋"/>
          <w:color w:val="auto"/>
          <w:sz w:val="32"/>
          <w:szCs w:val="32"/>
        </w:rPr>
        <w:t>（</w:t>
      </w:r>
      <w:r>
        <w:rPr>
          <w:rFonts w:hint="eastAsia" w:hAnsi="仿宋" w:eastAsia="仿宋"/>
          <w:color w:val="auto"/>
          <w:sz w:val="32"/>
          <w:szCs w:val="32"/>
          <w:lang w:eastAsia="zh-CN"/>
        </w:rPr>
        <w:t>四</w:t>
      </w:r>
      <w:r>
        <w:rPr>
          <w:rFonts w:hAnsi="仿宋" w:eastAsia="仿宋"/>
          <w:color w:val="auto"/>
          <w:sz w:val="32"/>
          <w:szCs w:val="32"/>
        </w:rPr>
        <w:t>）报价文件资料清单</w:t>
      </w:r>
      <w:r>
        <w:rPr>
          <w:rFonts w:hint="eastAsia" w:hAnsi="仿宋" w:eastAsia="仿宋"/>
          <w:b/>
          <w:bCs/>
          <w:color w:val="auto"/>
          <w:sz w:val="32"/>
          <w:szCs w:val="32"/>
        </w:rPr>
        <w:t>（以下文件必须提供且均需加盖公章）</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目录</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第一章、报价人简介</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第二章、营业执照、执业证书；</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第三章、报价函（报包干总价（含税，税率为</w:t>
      </w:r>
      <w:r>
        <w:rPr>
          <w:rFonts w:hint="eastAsia" w:ascii="Times New Roman" w:hAnsi="仿宋" w:eastAsia="仿宋"/>
          <w:color w:val="auto"/>
          <w:sz w:val="32"/>
          <w:szCs w:val="32"/>
          <w:u w:val="single"/>
        </w:rPr>
        <w:t xml:space="preserve">  </w:t>
      </w:r>
      <w:r>
        <w:rPr>
          <w:rFonts w:hint="eastAsia" w:ascii="Times New Roman" w:hAnsi="仿宋" w:eastAsia="仿宋"/>
          <w:color w:val="auto"/>
          <w:sz w:val="32"/>
          <w:szCs w:val="32"/>
        </w:rPr>
        <w:t>%），并附报价单位联系人、联系方式、报价单位开户银行及账号等</w:t>
      </w:r>
      <w:bookmarkStart w:id="0" w:name="_GoBack"/>
      <w:bookmarkEnd w:id="0"/>
      <w:r>
        <w:rPr>
          <w:rFonts w:hint="eastAsia" w:ascii="Times New Roman" w:hAnsi="仿宋" w:eastAsia="仿宋"/>
          <w:color w:val="auto"/>
          <w:sz w:val="32"/>
          <w:szCs w:val="32"/>
        </w:rPr>
        <w:t>）；</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第四章、企业近两年已完成类似项目一览表，在一览表中注明合同名称、合作单位、合同金额、注明合同扫描件在报价文件中对应的页码（类似业绩不少于2例，一览表后附合同扫描件）；</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第五章、服务方案（包括服务工作进度安排、服务质量保证措施、服务质量承诺等）；</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第六章、拟投入本项目人员情况一览表，一览表中的内容包括人员姓名、年龄、担任职务、</w:t>
      </w:r>
      <w:r>
        <w:rPr>
          <w:rFonts w:hint="eastAsia" w:ascii="Times New Roman" w:hAnsi="仿宋" w:eastAsia="仿宋" w:cs="Times New Roman"/>
          <w:color w:val="auto"/>
          <w:sz w:val="32"/>
          <w:szCs w:val="32"/>
          <w:lang w:eastAsia="zh-CN"/>
        </w:rPr>
        <w:t>执业证或</w:t>
      </w:r>
      <w:r>
        <w:rPr>
          <w:rFonts w:hint="eastAsia" w:ascii="Times New Roman" w:hAnsi="仿宋" w:eastAsia="仿宋" w:cs="Times New Roman"/>
          <w:color w:val="auto"/>
          <w:sz w:val="32"/>
          <w:szCs w:val="32"/>
        </w:rPr>
        <w:t>职称</w:t>
      </w:r>
      <w:r>
        <w:rPr>
          <w:rFonts w:hint="eastAsia" w:ascii="Times New Roman" w:hAnsi="仿宋" w:eastAsia="仿宋" w:cs="Times New Roman"/>
          <w:color w:val="auto"/>
          <w:sz w:val="32"/>
          <w:szCs w:val="32"/>
          <w:lang w:eastAsia="zh-CN"/>
        </w:rPr>
        <w:t>证等</w:t>
      </w:r>
      <w:r>
        <w:rPr>
          <w:rFonts w:hint="eastAsia" w:ascii="Times New Roman" w:hAnsi="仿宋" w:eastAsia="仿宋"/>
          <w:color w:val="auto"/>
          <w:sz w:val="32"/>
          <w:szCs w:val="32"/>
        </w:rPr>
        <w:t>，同时注明人员证件扫描件在报价文件中对应的页码（</w:t>
      </w:r>
      <w:r>
        <w:rPr>
          <w:rFonts w:hint="eastAsia" w:hAnsi="仿宋" w:eastAsia="仿宋"/>
          <w:color w:val="auto"/>
          <w:sz w:val="32"/>
          <w:szCs w:val="32"/>
          <w:lang w:eastAsia="zh-CN"/>
        </w:rPr>
        <w:t>拟投入项目负责人须具备注册会计师证，</w:t>
      </w:r>
      <w:r>
        <w:rPr>
          <w:rFonts w:hint="eastAsia" w:ascii="Times New Roman" w:hAnsi="仿宋" w:eastAsia="仿宋"/>
          <w:color w:val="auto"/>
          <w:sz w:val="32"/>
          <w:szCs w:val="32"/>
        </w:rPr>
        <w:t>一览表后附人员相关证书扫描件及近三个月（2021年7月—9月）的社保缴纳证明）。</w:t>
      </w:r>
    </w:p>
    <w:p>
      <w:pPr>
        <w:spacing w:line="540" w:lineRule="exact"/>
        <w:ind w:firstLine="640" w:firstLineChars="200"/>
        <w:rPr>
          <w:rFonts w:ascii="黑体" w:hAnsi="黑体" w:eastAsia="黑体"/>
          <w:color w:val="auto"/>
          <w:sz w:val="32"/>
          <w:szCs w:val="32"/>
        </w:rPr>
      </w:pPr>
      <w:r>
        <w:rPr>
          <w:rFonts w:ascii="Times New Roman" w:hAnsi="Times New Roman" w:eastAsia="黑体"/>
          <w:color w:val="auto"/>
          <w:sz w:val="32"/>
          <w:szCs w:val="32"/>
        </w:rPr>
        <w:t> </w:t>
      </w:r>
      <w:r>
        <w:rPr>
          <w:rFonts w:hint="eastAsia" w:ascii="黑体" w:hAnsi="黑体" w:eastAsia="黑体"/>
          <w:color w:val="auto"/>
          <w:sz w:val="32"/>
          <w:szCs w:val="32"/>
        </w:rPr>
        <w:t>四</w:t>
      </w:r>
      <w:r>
        <w:rPr>
          <w:rFonts w:ascii="黑体" w:hAnsi="黑体" w:eastAsia="黑体"/>
          <w:color w:val="auto"/>
          <w:sz w:val="32"/>
          <w:szCs w:val="32"/>
        </w:rPr>
        <w:t>、评审规则</w:t>
      </w:r>
    </w:p>
    <w:p>
      <w:pPr>
        <w:spacing w:line="540" w:lineRule="exact"/>
        <w:ind w:firstLine="640" w:firstLineChars="200"/>
        <w:rPr>
          <w:rFonts w:ascii="Times New Roman" w:hAnsi="Times New Roman" w:eastAsia="仿宋"/>
          <w:color w:val="auto"/>
          <w:sz w:val="32"/>
          <w:szCs w:val="32"/>
        </w:rPr>
      </w:pPr>
      <w:r>
        <w:rPr>
          <w:rFonts w:ascii="Times New Roman" w:hAnsi="仿宋" w:eastAsia="仿宋"/>
          <w:color w:val="auto"/>
          <w:sz w:val="32"/>
          <w:szCs w:val="32"/>
        </w:rPr>
        <w:t>（一）我公司将结合报价单位的</w:t>
      </w:r>
      <w:r>
        <w:rPr>
          <w:rFonts w:hint="eastAsia" w:ascii="Times New Roman" w:hAnsi="仿宋" w:eastAsia="仿宋"/>
          <w:color w:val="auto"/>
          <w:sz w:val="32"/>
          <w:szCs w:val="32"/>
        </w:rPr>
        <w:t>资格</w:t>
      </w:r>
      <w:r>
        <w:rPr>
          <w:rFonts w:ascii="Times New Roman" w:hAnsi="仿宋" w:eastAsia="仿宋"/>
          <w:color w:val="auto"/>
          <w:sz w:val="32"/>
          <w:szCs w:val="32"/>
        </w:rPr>
        <w:t>条件、业绩及报价等因素，综合择优选定本项目的中选单位。</w:t>
      </w:r>
    </w:p>
    <w:p>
      <w:pPr>
        <w:spacing w:line="540" w:lineRule="exact"/>
        <w:ind w:firstLine="640" w:firstLineChars="200"/>
        <w:rPr>
          <w:rFonts w:ascii="Times New Roman" w:hAnsi="Times New Roman" w:eastAsia="仿宋"/>
          <w:color w:val="auto"/>
          <w:sz w:val="32"/>
          <w:szCs w:val="32"/>
        </w:rPr>
      </w:pPr>
      <w:r>
        <w:rPr>
          <w:rFonts w:ascii="Times New Roman" w:hAnsi="仿宋" w:eastAsia="仿宋"/>
          <w:color w:val="auto"/>
          <w:sz w:val="32"/>
          <w:szCs w:val="32"/>
        </w:rPr>
        <w:t>（二）如出现下列情况之一，报价文件作无效处理</w:t>
      </w:r>
    </w:p>
    <w:p>
      <w:pPr>
        <w:spacing w:line="54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    </w:t>
      </w:r>
      <w:r>
        <w:rPr>
          <w:rFonts w:hint="eastAsia" w:ascii="Times New Roman" w:hAnsi="Times New Roman" w:eastAsia="仿宋"/>
          <w:color w:val="auto"/>
          <w:sz w:val="32"/>
          <w:szCs w:val="32"/>
        </w:rPr>
        <w:t>1</w:t>
      </w:r>
      <w:r>
        <w:rPr>
          <w:rFonts w:ascii="Times New Roman" w:hAnsi="Times New Roman" w:eastAsia="仿宋"/>
          <w:color w:val="auto"/>
          <w:sz w:val="32"/>
          <w:szCs w:val="32"/>
        </w:rPr>
        <w:t>.</w:t>
      </w:r>
      <w:r>
        <w:rPr>
          <w:rFonts w:ascii="Times New Roman" w:hAnsi="仿宋" w:eastAsia="仿宋"/>
          <w:color w:val="auto"/>
          <w:sz w:val="32"/>
          <w:szCs w:val="32"/>
        </w:rPr>
        <w:t>不响应比选文件实质性要求；</w:t>
      </w:r>
    </w:p>
    <w:p>
      <w:pPr>
        <w:spacing w:line="540" w:lineRule="exact"/>
        <w:ind w:firstLine="960" w:firstLineChars="300"/>
        <w:rPr>
          <w:rFonts w:ascii="Times New Roman" w:hAnsi="仿宋" w:eastAsia="仿宋"/>
          <w:color w:val="auto"/>
          <w:sz w:val="32"/>
          <w:szCs w:val="32"/>
        </w:rPr>
      </w:pPr>
      <w:r>
        <w:rPr>
          <w:rFonts w:hint="eastAsia" w:ascii="Times New Roman" w:hAnsi="Times New Roman" w:eastAsia="仿宋"/>
          <w:color w:val="auto"/>
          <w:sz w:val="32"/>
          <w:szCs w:val="32"/>
        </w:rPr>
        <w:t>2</w:t>
      </w:r>
      <w:r>
        <w:rPr>
          <w:rFonts w:ascii="Times New Roman" w:hAnsi="Times New Roman" w:eastAsia="仿宋"/>
          <w:color w:val="auto"/>
          <w:sz w:val="32"/>
          <w:szCs w:val="32"/>
        </w:rPr>
        <w:t>.</w:t>
      </w:r>
      <w:r>
        <w:rPr>
          <w:rFonts w:ascii="Times New Roman" w:hAnsi="仿宋" w:eastAsia="仿宋"/>
          <w:color w:val="auto"/>
          <w:sz w:val="32"/>
          <w:szCs w:val="32"/>
        </w:rPr>
        <w:t>出现两个或两个以上报价；</w:t>
      </w:r>
    </w:p>
    <w:p>
      <w:pPr>
        <w:spacing w:line="540" w:lineRule="exact"/>
        <w:ind w:firstLine="960" w:firstLineChars="300"/>
        <w:rPr>
          <w:rFonts w:ascii="Times New Roman" w:hAnsi="仿宋" w:eastAsia="仿宋"/>
          <w:color w:val="auto"/>
          <w:sz w:val="32"/>
          <w:szCs w:val="32"/>
        </w:rPr>
      </w:pPr>
      <w:r>
        <w:rPr>
          <w:rFonts w:hint="eastAsia" w:ascii="Times New Roman" w:hAnsi="Times New Roman" w:eastAsia="仿宋"/>
          <w:color w:val="auto"/>
          <w:sz w:val="32"/>
          <w:szCs w:val="32"/>
        </w:rPr>
        <w:t>3</w:t>
      </w:r>
      <w:r>
        <w:rPr>
          <w:rFonts w:ascii="Times New Roman" w:hAnsi="Times New Roman" w:eastAsia="仿宋"/>
          <w:color w:val="auto"/>
          <w:sz w:val="32"/>
          <w:szCs w:val="32"/>
        </w:rPr>
        <w:t>.</w:t>
      </w:r>
      <w:r>
        <w:rPr>
          <w:rFonts w:ascii="Times New Roman" w:hAnsi="仿宋" w:eastAsia="仿宋"/>
          <w:color w:val="auto"/>
          <w:sz w:val="32"/>
          <w:szCs w:val="32"/>
        </w:rPr>
        <w:t>报价超出预算控制价的</w:t>
      </w:r>
      <w:r>
        <w:rPr>
          <w:rFonts w:hint="eastAsia" w:ascii="Times New Roman" w:hAnsi="仿宋" w:eastAsia="仿宋"/>
          <w:color w:val="auto"/>
          <w:sz w:val="32"/>
          <w:szCs w:val="32"/>
        </w:rPr>
        <w:t>；</w:t>
      </w:r>
    </w:p>
    <w:p>
      <w:pPr>
        <w:spacing w:line="54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4.报价低于控制价80%的；</w:t>
      </w:r>
    </w:p>
    <w:p>
      <w:pPr>
        <w:spacing w:line="54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5.报价文件报送时间已超过规定截止时间；</w:t>
      </w:r>
    </w:p>
    <w:p>
      <w:pPr>
        <w:spacing w:line="54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6.纸质版报价文件未按要求密封；</w:t>
      </w:r>
    </w:p>
    <w:p>
      <w:pPr>
        <w:spacing w:line="54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7.报价文件资料未加盖公司公章；</w:t>
      </w:r>
    </w:p>
    <w:p>
      <w:pPr>
        <w:spacing w:line="54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8.</w:t>
      </w:r>
      <w:r>
        <w:rPr>
          <w:rFonts w:hint="eastAsia" w:ascii="Times New Roman" w:hAnsi="仿宋" w:eastAsia="仿宋"/>
          <w:color w:val="auto"/>
          <w:sz w:val="32"/>
          <w:szCs w:val="32"/>
          <w:lang w:bidi="ar"/>
        </w:rPr>
        <w:t>资格证明文件不全或不符合比选要求，或</w:t>
      </w:r>
      <w:r>
        <w:rPr>
          <w:rFonts w:hint="eastAsia" w:ascii="Times New Roman" w:hAnsi="仿宋" w:eastAsia="仿宋"/>
          <w:color w:val="auto"/>
          <w:sz w:val="32"/>
          <w:szCs w:val="32"/>
        </w:rPr>
        <w:t>超出经营范围报价的；</w:t>
      </w:r>
    </w:p>
    <w:p>
      <w:pPr>
        <w:spacing w:line="540" w:lineRule="exact"/>
        <w:ind w:firstLine="960" w:firstLineChars="300"/>
        <w:rPr>
          <w:rFonts w:ascii="Times New Roman" w:hAnsi="仿宋" w:eastAsia="仿宋"/>
          <w:color w:val="auto"/>
          <w:sz w:val="32"/>
          <w:szCs w:val="32"/>
        </w:rPr>
      </w:pPr>
      <w:r>
        <w:rPr>
          <w:rFonts w:hint="eastAsia" w:ascii="Times New Roman" w:hAnsi="仿宋" w:eastAsia="仿宋"/>
          <w:color w:val="auto"/>
          <w:sz w:val="32"/>
          <w:szCs w:val="32"/>
        </w:rPr>
        <w:t>9.存在其他不符合比选文件要求的行为。</w:t>
      </w:r>
    </w:p>
    <w:p>
      <w:pPr>
        <w:spacing w:line="540" w:lineRule="exact"/>
        <w:rPr>
          <w:rFonts w:eastAsia="仿宋"/>
          <w:color w:val="auto"/>
          <w:sz w:val="32"/>
          <w:szCs w:val="32"/>
        </w:rPr>
      </w:pPr>
      <w:r>
        <w:rPr>
          <w:rFonts w:hint="eastAsia" w:eastAsia="黑体"/>
          <w:color w:val="auto"/>
          <w:sz w:val="32"/>
          <w:szCs w:val="32"/>
        </w:rPr>
        <w:t xml:space="preserve">    五</w:t>
      </w:r>
      <w:r>
        <w:rPr>
          <w:rFonts w:ascii="Times New Roman" w:hAnsi="Times New Roman" w:eastAsia="黑体"/>
          <w:color w:val="auto"/>
          <w:sz w:val="32"/>
          <w:szCs w:val="32"/>
        </w:rPr>
        <w:t>、评分办法</w:t>
      </w:r>
    </w:p>
    <w:p>
      <w:pPr>
        <w:spacing w:line="540" w:lineRule="exact"/>
        <w:ind w:firstLine="640" w:firstLineChars="200"/>
        <w:rPr>
          <w:rFonts w:eastAsia="仿宋"/>
          <w:color w:val="auto"/>
          <w:sz w:val="32"/>
          <w:szCs w:val="32"/>
        </w:rPr>
      </w:pPr>
      <w:r>
        <w:rPr>
          <w:rFonts w:ascii="Times New Roman" w:hAnsi="Times New Roman" w:eastAsia="仿宋"/>
          <w:color w:val="auto"/>
          <w:sz w:val="32"/>
          <w:szCs w:val="32"/>
        </w:rPr>
        <w:t>本项目评审办法采用综合评分法，评委首先对</w:t>
      </w:r>
      <w:r>
        <w:rPr>
          <w:rFonts w:hint="eastAsia" w:eastAsia="仿宋"/>
          <w:color w:val="auto"/>
          <w:sz w:val="32"/>
          <w:szCs w:val="32"/>
        </w:rPr>
        <w:t>报价</w:t>
      </w:r>
      <w:r>
        <w:rPr>
          <w:rFonts w:ascii="Times New Roman" w:hAnsi="Times New Roman" w:eastAsia="仿宋"/>
          <w:color w:val="auto"/>
          <w:sz w:val="32"/>
          <w:szCs w:val="32"/>
        </w:rPr>
        <w:t>单位进行资格审查，然后对通过资格审查的</w:t>
      </w:r>
      <w:r>
        <w:rPr>
          <w:rFonts w:hint="eastAsia" w:eastAsia="仿宋"/>
          <w:color w:val="auto"/>
          <w:sz w:val="32"/>
          <w:szCs w:val="32"/>
        </w:rPr>
        <w:t>报价</w:t>
      </w:r>
      <w:r>
        <w:rPr>
          <w:rFonts w:ascii="Times New Roman" w:hAnsi="Times New Roman" w:eastAsia="仿宋"/>
          <w:color w:val="auto"/>
          <w:sz w:val="32"/>
          <w:szCs w:val="32"/>
        </w:rPr>
        <w:t>单位的报价、</w:t>
      </w:r>
      <w:r>
        <w:rPr>
          <w:rFonts w:hint="eastAsia" w:ascii="Times New Roman" w:hAnsi="Times New Roman" w:eastAsia="仿宋"/>
          <w:color w:val="auto"/>
          <w:sz w:val="32"/>
          <w:szCs w:val="32"/>
        </w:rPr>
        <w:t>业绩</w:t>
      </w:r>
      <w:r>
        <w:rPr>
          <w:rFonts w:ascii="Times New Roman" w:hAnsi="Times New Roman" w:eastAsia="仿宋"/>
          <w:color w:val="auto"/>
          <w:sz w:val="32"/>
          <w:szCs w:val="32"/>
        </w:rPr>
        <w:t>等方面按</w:t>
      </w:r>
      <w:r>
        <w:rPr>
          <w:rFonts w:hint="eastAsia" w:ascii="Times New Roman" w:hAnsi="Times New Roman" w:eastAsia="仿宋"/>
          <w:color w:val="auto"/>
          <w:sz w:val="32"/>
          <w:szCs w:val="32"/>
        </w:rPr>
        <w:t>十</w:t>
      </w:r>
      <w:r>
        <w:rPr>
          <w:rFonts w:ascii="Times New Roman" w:hAnsi="Times New Roman" w:eastAsia="仿宋"/>
          <w:color w:val="auto"/>
          <w:sz w:val="32"/>
          <w:szCs w:val="32"/>
        </w:rPr>
        <w:t>分制进行评分。</w:t>
      </w:r>
    </w:p>
    <w:p>
      <w:pPr>
        <w:numPr>
          <w:ilvl w:val="0"/>
          <w:numId w:val="1"/>
        </w:num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商务文件（权重60%，满分6分）</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根据价格的高低进行横向对比评审，</w:t>
      </w:r>
      <w:r>
        <w:rPr>
          <w:rFonts w:ascii="Times New Roman" w:hAnsi="仿宋" w:eastAsia="仿宋"/>
          <w:color w:val="auto"/>
          <w:sz w:val="32"/>
          <w:szCs w:val="32"/>
        </w:rPr>
        <w:t>报价超出预算控制价</w:t>
      </w:r>
      <w:r>
        <w:rPr>
          <w:rFonts w:hint="eastAsia" w:ascii="Times New Roman" w:hAnsi="仿宋" w:eastAsia="仿宋"/>
          <w:color w:val="auto"/>
          <w:sz w:val="32"/>
          <w:szCs w:val="32"/>
        </w:rPr>
        <w:t>或低于控制价80%的，均作无效处理，评审按以下五个档进行：</w:t>
      </w:r>
    </w:p>
    <w:p>
      <w:pPr>
        <w:spacing w:line="54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1为不合格（得分为1/5*6）；</w:t>
      </w:r>
    </w:p>
    <w:p>
      <w:pPr>
        <w:spacing w:line="54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2为一般（得分为2/5*6）；</w:t>
      </w:r>
    </w:p>
    <w:p>
      <w:pPr>
        <w:spacing w:line="54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3为合格（得分为3/5*6）；</w:t>
      </w:r>
    </w:p>
    <w:p>
      <w:pPr>
        <w:spacing w:line="54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4为良好（得分为4/5*6）；</w:t>
      </w:r>
    </w:p>
    <w:p>
      <w:pPr>
        <w:spacing w:line="540" w:lineRule="exact"/>
        <w:ind w:firstLine="640" w:firstLineChars="200"/>
        <w:rPr>
          <w:rFonts w:ascii="Times New Roman" w:hAnsi="仿宋" w:eastAsia="仿宋"/>
          <w:color w:val="auto"/>
          <w:sz w:val="32"/>
          <w:szCs w:val="32"/>
        </w:rPr>
      </w:pPr>
      <w:r>
        <w:rPr>
          <w:rFonts w:hint="eastAsia" w:ascii="Times New Roman" w:hAnsi="Times New Roman" w:eastAsia="仿宋"/>
          <w:color w:val="auto"/>
          <w:sz w:val="32"/>
          <w:szCs w:val="32"/>
        </w:rPr>
        <w:t>5为优秀（得分为5/5*6）。</w:t>
      </w:r>
    </w:p>
    <w:p>
      <w:pPr>
        <w:numPr>
          <w:ilvl w:val="0"/>
          <w:numId w:val="2"/>
        </w:numPr>
        <w:spacing w:line="56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技术文件（权重40%，满分4分）</w:t>
      </w:r>
    </w:p>
    <w:tbl>
      <w:tblPr>
        <w:tblStyle w:val="10"/>
        <w:tblW w:w="907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
        <w:gridCol w:w="1791"/>
        <w:gridCol w:w="2505"/>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2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序号</w:t>
            </w:r>
          </w:p>
        </w:tc>
        <w:tc>
          <w:tcPr>
            <w:tcW w:w="93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评审</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项目</w:t>
            </w:r>
          </w:p>
        </w:tc>
        <w:tc>
          <w:tcPr>
            <w:tcW w:w="1791"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w:t>
            </w:r>
          </w:p>
        </w:tc>
        <w:tc>
          <w:tcPr>
            <w:tcW w:w="2505"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评审依据</w:t>
            </w:r>
          </w:p>
        </w:tc>
        <w:tc>
          <w:tcPr>
            <w:tcW w:w="3124"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72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1</w:t>
            </w:r>
          </w:p>
        </w:tc>
        <w:tc>
          <w:tcPr>
            <w:tcW w:w="93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业绩</w:t>
            </w:r>
          </w:p>
        </w:tc>
        <w:tc>
          <w:tcPr>
            <w:tcW w:w="1791"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权重15%</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满分1.5分</w:t>
            </w:r>
          </w:p>
        </w:tc>
        <w:tc>
          <w:tcPr>
            <w:tcW w:w="2505"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根据所附业绩合同数量、合同金额大小、项目规模、合同类型与本采购项目的匹配度等方面进行横向对比评审，评审按五个档进行</w:t>
            </w:r>
          </w:p>
        </w:tc>
        <w:tc>
          <w:tcPr>
            <w:tcW w:w="3124" w:type="dxa"/>
            <w:vAlign w:val="center"/>
          </w:tcPr>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1为不合格</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（得分为1/5*1.5）；</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2为一般</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（得分为2/5*1.5）；</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3为合格</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（得分为3/5*1.5）；</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4为良好</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（得分为4/5*1.5）；</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5为优秀</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72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2</w:t>
            </w:r>
          </w:p>
        </w:tc>
        <w:tc>
          <w:tcPr>
            <w:tcW w:w="930" w:type="dxa"/>
            <w:vAlign w:val="center"/>
          </w:tcPr>
          <w:p>
            <w:pPr>
              <w:spacing w:line="360" w:lineRule="exact"/>
              <w:jc w:val="center"/>
              <w:rPr>
                <w:rFonts w:ascii="仿宋" w:hAnsi="仿宋" w:eastAsia="仿宋" w:cs="仿宋"/>
                <w:color w:val="auto"/>
                <w:sz w:val="32"/>
                <w:szCs w:val="32"/>
              </w:rPr>
            </w:pPr>
            <w:r>
              <w:rPr>
                <w:rFonts w:hint="eastAsia" w:ascii="Times New Roman" w:hAnsi="仿宋" w:eastAsia="仿宋"/>
                <w:color w:val="auto"/>
                <w:sz w:val="32"/>
                <w:szCs w:val="32"/>
              </w:rPr>
              <w:t>服务方案</w:t>
            </w:r>
          </w:p>
        </w:tc>
        <w:tc>
          <w:tcPr>
            <w:tcW w:w="1791"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权重10%</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满分1分</w:t>
            </w:r>
          </w:p>
        </w:tc>
        <w:tc>
          <w:tcPr>
            <w:tcW w:w="2505"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根据</w:t>
            </w:r>
            <w:r>
              <w:rPr>
                <w:rFonts w:hint="eastAsia" w:ascii="Times New Roman" w:hAnsi="仿宋" w:eastAsia="仿宋"/>
                <w:color w:val="auto"/>
                <w:sz w:val="32"/>
                <w:szCs w:val="32"/>
              </w:rPr>
              <w:t>服务工作进度是否合理、服务质量保证措施是否</w:t>
            </w:r>
            <w:r>
              <w:rPr>
                <w:rFonts w:hint="eastAsia" w:ascii="仿宋" w:hAnsi="仿宋" w:eastAsia="仿宋" w:cs="仿宋"/>
                <w:color w:val="auto"/>
                <w:sz w:val="32"/>
                <w:szCs w:val="32"/>
              </w:rPr>
              <w:t>可行，</w:t>
            </w:r>
            <w:r>
              <w:rPr>
                <w:rFonts w:hint="eastAsia" w:hAnsi="仿宋" w:eastAsia="仿宋"/>
                <w:color w:val="auto"/>
                <w:sz w:val="32"/>
                <w:szCs w:val="32"/>
              </w:rPr>
              <w:t>服务质量承诺</w:t>
            </w:r>
            <w:r>
              <w:rPr>
                <w:rFonts w:hint="eastAsia" w:ascii="仿宋" w:hAnsi="仿宋" w:eastAsia="仿宋" w:cs="仿宋"/>
                <w:color w:val="auto"/>
                <w:sz w:val="32"/>
                <w:szCs w:val="32"/>
              </w:rPr>
              <w:t>的优劣等方面的内容进行横向对比评审，评审按五个档进行</w:t>
            </w:r>
          </w:p>
        </w:tc>
        <w:tc>
          <w:tcPr>
            <w:tcW w:w="3124" w:type="dxa"/>
            <w:vAlign w:val="center"/>
          </w:tcPr>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1为不合格</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（得分为1/5*1）；</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2为一般</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（得分为2/5*1）；</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3为合格</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（得分为3/5*1）；</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4为良好</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（得分为4/5*1）；</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5为优秀</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72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3</w:t>
            </w:r>
          </w:p>
        </w:tc>
        <w:tc>
          <w:tcPr>
            <w:tcW w:w="930"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人员</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配置</w:t>
            </w:r>
          </w:p>
        </w:tc>
        <w:tc>
          <w:tcPr>
            <w:tcW w:w="1791"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权重15%</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满分1.5分</w:t>
            </w:r>
          </w:p>
        </w:tc>
        <w:tc>
          <w:tcPr>
            <w:tcW w:w="2505" w:type="dxa"/>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根据人员配备的合理性、充足性、人员资历等方面进行横向对比评审，评审按五个档进行</w:t>
            </w:r>
          </w:p>
        </w:tc>
        <w:tc>
          <w:tcPr>
            <w:tcW w:w="3124" w:type="dxa"/>
            <w:vAlign w:val="center"/>
          </w:tcPr>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1为不合格</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（得分为1/5*1.5）；</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2为一般</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（得分为2/5*1.5）；</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3为合格</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（得分为3/5*1.5）；</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4为良好</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（得分为4/5*1.5）；</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5为优秀</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（得分为5/5*1.5）。</w:t>
            </w:r>
          </w:p>
        </w:tc>
      </w:tr>
    </w:tbl>
    <w:p>
      <w:pPr>
        <w:spacing w:line="540" w:lineRule="exact"/>
        <w:rPr>
          <w:rFonts w:ascii="Times New Roman" w:hAnsi="仿宋" w:eastAsia="仿宋"/>
          <w:color w:val="auto"/>
          <w:sz w:val="32"/>
          <w:szCs w:val="32"/>
        </w:rPr>
        <w:sectPr>
          <w:headerReference r:id="rId3" w:type="default"/>
          <w:footerReference r:id="rId4" w:type="default"/>
          <w:pgSz w:w="11906" w:h="16838"/>
          <w:pgMar w:top="2268" w:right="1474" w:bottom="2041" w:left="1587" w:header="851" w:footer="992" w:gutter="0"/>
          <w:cols w:space="0" w:num="1"/>
          <w:docGrid w:type="lines" w:linePitch="321" w:charSpace="0"/>
        </w:sectPr>
      </w:pPr>
    </w:p>
    <w:p>
      <w:pPr>
        <w:rPr>
          <w:color w:val="auto"/>
        </w:rPr>
      </w:pPr>
    </w:p>
    <w:p>
      <w:pPr>
        <w:spacing w:line="540" w:lineRule="exact"/>
        <w:ind w:firstLine="640" w:firstLineChars="200"/>
        <w:rPr>
          <w:rFonts w:eastAsia="黑体"/>
          <w:bCs/>
          <w:color w:val="auto"/>
          <w:sz w:val="32"/>
          <w:szCs w:val="32"/>
          <w:shd w:val="clear" w:color="auto" w:fill="FFFFFF"/>
        </w:rPr>
      </w:pPr>
      <w:r>
        <w:rPr>
          <w:rFonts w:hint="eastAsia" w:eastAsia="黑体"/>
          <w:bCs/>
          <w:color w:val="auto"/>
          <w:sz w:val="32"/>
          <w:szCs w:val="32"/>
          <w:shd w:val="clear" w:color="auto" w:fill="FFFFFF"/>
        </w:rPr>
        <w:t>六</w:t>
      </w:r>
      <w:r>
        <w:rPr>
          <w:rFonts w:ascii="Times New Roman" w:hAnsi="Times New Roman" w:eastAsia="黑体"/>
          <w:bCs/>
          <w:color w:val="auto"/>
          <w:sz w:val="32"/>
          <w:szCs w:val="32"/>
          <w:shd w:val="clear" w:color="auto" w:fill="FFFFFF"/>
        </w:rPr>
        <w:t>、中选候选人推荐原则</w:t>
      </w:r>
    </w:p>
    <w:p>
      <w:pPr>
        <w:spacing w:line="540" w:lineRule="exact"/>
        <w:ind w:firstLine="640" w:firstLineChars="200"/>
        <w:rPr>
          <w:color w:val="auto"/>
        </w:rPr>
      </w:pPr>
      <w:r>
        <w:rPr>
          <w:rFonts w:ascii="Times New Roman" w:hAnsi="Times New Roman" w:eastAsia="仿宋"/>
          <w:color w:val="auto"/>
          <w:sz w:val="32"/>
          <w:szCs w:val="32"/>
        </w:rPr>
        <w:t>我公司招采</w:t>
      </w:r>
      <w:r>
        <w:rPr>
          <w:rFonts w:hint="eastAsia" w:ascii="Times New Roman" w:hAnsi="Times New Roman" w:eastAsia="仿宋"/>
          <w:color w:val="auto"/>
          <w:sz w:val="32"/>
          <w:szCs w:val="32"/>
        </w:rPr>
        <w:t>人员</w:t>
      </w:r>
      <w:r>
        <w:rPr>
          <w:rFonts w:ascii="Times New Roman" w:hAnsi="Times New Roman" w:eastAsia="仿宋"/>
          <w:color w:val="auto"/>
          <w:sz w:val="32"/>
          <w:szCs w:val="32"/>
        </w:rPr>
        <w:t>按照</w:t>
      </w:r>
      <w:r>
        <w:rPr>
          <w:rFonts w:hint="eastAsia" w:eastAsia="仿宋"/>
          <w:color w:val="auto"/>
          <w:sz w:val="32"/>
          <w:szCs w:val="32"/>
        </w:rPr>
        <w:t>比选文件</w:t>
      </w:r>
      <w:r>
        <w:rPr>
          <w:rFonts w:ascii="Times New Roman" w:hAnsi="Times New Roman" w:eastAsia="仿宋"/>
          <w:color w:val="auto"/>
          <w:sz w:val="32"/>
          <w:szCs w:val="32"/>
        </w:rPr>
        <w:t>的要求，写出评审报告，拟定综合评分表。评审表标明</w:t>
      </w:r>
      <w:r>
        <w:rPr>
          <w:rFonts w:hint="eastAsia" w:eastAsia="仿宋"/>
          <w:color w:val="auto"/>
          <w:sz w:val="32"/>
          <w:szCs w:val="32"/>
        </w:rPr>
        <w:t>报价</w:t>
      </w:r>
      <w:r>
        <w:rPr>
          <w:rFonts w:ascii="Times New Roman" w:hAnsi="Times New Roman" w:eastAsia="仿宋"/>
          <w:color w:val="auto"/>
          <w:sz w:val="32"/>
          <w:szCs w:val="32"/>
        </w:rPr>
        <w:t>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采购或者因不可抗力的提出不能履行合同时，采购人依序确定其他中选候选为中选人。</w:t>
      </w:r>
    </w:p>
    <w:p>
      <w:pPr>
        <w:tabs>
          <w:tab w:val="left" w:pos="624"/>
        </w:tabs>
        <w:spacing w:line="54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附件：基本建设工程竣工财务决算审核业务约定书</w:t>
      </w:r>
    </w:p>
    <w:p>
      <w:pPr>
        <w:tabs>
          <w:tab w:val="left" w:pos="624"/>
        </w:tabs>
        <w:spacing w:line="540" w:lineRule="exact"/>
        <w:ind w:firstLine="640" w:firstLineChars="200"/>
        <w:rPr>
          <w:rFonts w:ascii="Times New Roman" w:hAnsi="Times New Roman" w:eastAsia="仿宋"/>
          <w:color w:val="auto"/>
          <w:sz w:val="32"/>
          <w:szCs w:val="32"/>
        </w:rPr>
      </w:pPr>
    </w:p>
    <w:p>
      <w:pPr>
        <w:spacing w:line="540" w:lineRule="exact"/>
        <w:ind w:firstLine="640" w:firstLineChars="200"/>
        <w:rPr>
          <w:rFonts w:ascii="Times New Roman" w:hAnsi="Times New Roman" w:eastAsia="仿宋"/>
          <w:color w:val="auto"/>
          <w:sz w:val="32"/>
          <w:szCs w:val="32"/>
        </w:rPr>
      </w:pPr>
    </w:p>
    <w:p>
      <w:pPr>
        <w:spacing w:line="540" w:lineRule="exact"/>
        <w:rPr>
          <w:rFonts w:ascii="Times New Roman" w:hAnsi="Times New Roman" w:eastAsia="仿宋"/>
          <w:color w:val="auto"/>
          <w:sz w:val="32"/>
          <w:szCs w:val="32"/>
        </w:rPr>
      </w:pPr>
    </w:p>
    <w:p>
      <w:pPr>
        <w:spacing w:line="540" w:lineRule="exact"/>
        <w:rPr>
          <w:rFonts w:ascii="Times New Roman" w:hAnsi="Times New Roman" w:eastAsia="仿宋"/>
          <w:color w:val="auto"/>
          <w:sz w:val="32"/>
          <w:szCs w:val="32"/>
        </w:rPr>
      </w:pPr>
      <w:r>
        <w:rPr>
          <w:rFonts w:hint="eastAsia" w:ascii="Times New Roman" w:hAnsi="Times New Roman" w:eastAsia="仿宋"/>
          <w:color w:val="auto"/>
          <w:sz w:val="32"/>
          <w:szCs w:val="32"/>
        </w:rPr>
        <w:t xml:space="preserve">                        广西中马钦州产业园区开发有限公司</w:t>
      </w:r>
    </w:p>
    <w:p>
      <w:pPr>
        <w:tabs>
          <w:tab w:val="left" w:pos="1164"/>
        </w:tabs>
        <w:spacing w:line="540" w:lineRule="exact"/>
        <w:jc w:val="left"/>
        <w:rPr>
          <w:color w:val="auto"/>
        </w:rPr>
        <w:sectPr>
          <w:footerReference r:id="rId5" w:type="default"/>
          <w:pgSz w:w="11906" w:h="16838"/>
          <w:pgMar w:top="1814" w:right="1361" w:bottom="1814" w:left="1474" w:header="851" w:footer="992" w:gutter="0"/>
          <w:cols w:space="720" w:num="1"/>
          <w:docGrid w:type="lines" w:linePitch="321" w:charSpace="0"/>
        </w:sectPr>
      </w:pPr>
      <w:r>
        <w:rPr>
          <w:rFonts w:ascii="Times New Roman" w:hAnsi="Times New Roman" w:eastAsia="仿宋"/>
          <w:color w:val="auto"/>
          <w:sz w:val="32"/>
          <w:szCs w:val="32"/>
        </w:rPr>
        <w:t>                     </w:t>
      </w:r>
      <w:r>
        <w:rPr>
          <w:rFonts w:hint="eastAsia" w:ascii="Times New Roman" w:hAnsi="Times New Roman" w:eastAsia="仿宋"/>
          <w:color w:val="auto"/>
          <w:sz w:val="32"/>
          <w:szCs w:val="32"/>
        </w:rPr>
        <w:t xml:space="preserve">                     </w:t>
      </w:r>
      <w:r>
        <w:rPr>
          <w:rFonts w:ascii="Times New Roman" w:hAnsi="Times New Roman" w:eastAsia="仿宋"/>
          <w:color w:val="auto"/>
          <w:sz w:val="32"/>
          <w:szCs w:val="32"/>
        </w:rPr>
        <w:t>20</w:t>
      </w:r>
      <w:r>
        <w:rPr>
          <w:rFonts w:hint="eastAsia" w:ascii="Times New Roman" w:hAnsi="Times New Roman" w:eastAsia="仿宋"/>
          <w:color w:val="auto"/>
          <w:sz w:val="32"/>
          <w:szCs w:val="32"/>
        </w:rPr>
        <w:t>21</w:t>
      </w:r>
      <w:r>
        <w:rPr>
          <w:rFonts w:ascii="Times New Roman" w:hAnsi="仿宋" w:eastAsia="仿宋"/>
          <w:color w:val="auto"/>
          <w:sz w:val="32"/>
          <w:szCs w:val="32"/>
        </w:rPr>
        <w:t>年</w:t>
      </w:r>
      <w:r>
        <w:rPr>
          <w:rFonts w:hint="eastAsia" w:ascii="Times New Roman" w:hAnsi="仿宋" w:eastAsia="仿宋"/>
          <w:color w:val="auto"/>
          <w:sz w:val="32"/>
          <w:szCs w:val="32"/>
          <w:lang w:val="en-US" w:eastAsia="zh-CN"/>
        </w:rPr>
        <w:t>10</w:t>
      </w:r>
      <w:r>
        <w:rPr>
          <w:rFonts w:ascii="Times New Roman" w:hAnsi="仿宋" w:eastAsia="仿宋"/>
          <w:color w:val="auto"/>
          <w:sz w:val="32"/>
          <w:szCs w:val="32"/>
        </w:rPr>
        <w:t>月</w:t>
      </w:r>
      <w:r>
        <w:rPr>
          <w:rFonts w:hint="eastAsia" w:ascii="Times New Roman" w:hAnsi="仿宋" w:eastAsia="仿宋"/>
          <w:color w:val="auto"/>
          <w:sz w:val="32"/>
          <w:szCs w:val="32"/>
          <w:lang w:val="en-US" w:eastAsia="zh-CN"/>
        </w:rPr>
        <w:t>19</w:t>
      </w:r>
      <w:r>
        <w:rPr>
          <w:rFonts w:hint="eastAsia" w:ascii="Times New Roman" w:hAnsi="仿宋" w:eastAsia="仿宋"/>
          <w:color w:val="auto"/>
          <w:sz w:val="32"/>
          <w:szCs w:val="32"/>
        </w:rPr>
        <w:t>日</w:t>
      </w:r>
    </w:p>
    <w:p>
      <w:pPr>
        <w:spacing w:after="216" w:afterLines="90" w:line="240" w:lineRule="atLeast"/>
        <w:ind w:right="266"/>
        <w:jc w:val="center"/>
        <w:rPr>
          <w:rFonts w:ascii="Arial Narrow" w:hAnsi="Arial Narrow" w:eastAsia="仿宋_GB2312"/>
          <w:b/>
          <w:bCs/>
          <w:color w:val="auto"/>
          <w:sz w:val="44"/>
          <w:szCs w:val="44"/>
        </w:rPr>
      </w:pPr>
      <w:r>
        <w:rPr>
          <w:rFonts w:hint="eastAsia" w:ascii="Arial Narrow" w:hAnsi="Arial Narrow" w:eastAsia="仿宋_GB2312"/>
          <w:b/>
          <w:bCs/>
          <w:color w:val="auto"/>
          <w:sz w:val="44"/>
          <w:szCs w:val="44"/>
        </w:rPr>
        <w:t>基本建设工程竣工财务决算审核</w:t>
      </w:r>
    </w:p>
    <w:p>
      <w:pPr>
        <w:spacing w:after="216" w:afterLines="90" w:line="240" w:lineRule="atLeast"/>
        <w:ind w:right="266"/>
        <w:jc w:val="center"/>
        <w:rPr>
          <w:rFonts w:ascii="Arial Narrow" w:hAnsi="Arial Narrow" w:eastAsia="仿宋_GB2312"/>
          <w:b/>
          <w:bCs/>
          <w:color w:val="auto"/>
          <w:sz w:val="44"/>
          <w:szCs w:val="44"/>
        </w:rPr>
      </w:pPr>
      <w:r>
        <w:rPr>
          <w:rFonts w:hint="eastAsia" w:ascii="Arial Narrow" w:hAnsi="Arial Narrow" w:eastAsia="仿宋_GB2312"/>
          <w:b/>
          <w:bCs/>
          <w:color w:val="auto"/>
          <w:sz w:val="44"/>
          <w:szCs w:val="44"/>
        </w:rPr>
        <w:t>业务约定书</w:t>
      </w:r>
    </w:p>
    <w:p>
      <w:pPr>
        <w:spacing w:after="216" w:afterLines="90" w:line="500" w:lineRule="exact"/>
        <w:rPr>
          <w:rFonts w:ascii="Arial Narrow" w:hAnsi="Arial Narrow" w:eastAsia="仿宋_GB2312"/>
          <w:b/>
          <w:color w:val="auto"/>
          <w:sz w:val="28"/>
          <w:szCs w:val="28"/>
        </w:rPr>
      </w:pPr>
    </w:p>
    <w:p>
      <w:pPr>
        <w:spacing w:after="216" w:afterLines="90" w:line="500" w:lineRule="exact"/>
        <w:jc w:val="center"/>
        <w:rPr>
          <w:rFonts w:ascii="Arial Narrow" w:hAnsi="Arial Narrow" w:eastAsia="仿宋_GB2312"/>
          <w:b/>
          <w:color w:val="auto"/>
          <w:sz w:val="28"/>
          <w:szCs w:val="28"/>
        </w:rPr>
      </w:pPr>
      <w:r>
        <w:rPr>
          <w:rFonts w:hint="eastAsia" w:ascii="Arial Narrow" w:hAnsi="Arial Narrow" w:eastAsia="仿宋_GB2312"/>
          <w:b/>
          <w:color w:val="auto"/>
          <w:sz w:val="28"/>
          <w:szCs w:val="28"/>
        </w:rPr>
        <w:t xml:space="preserve">                                                 合同编号：</w:t>
      </w:r>
    </w:p>
    <w:p>
      <w:pPr>
        <w:snapToGrid w:val="0"/>
        <w:spacing w:before="120" w:beforeLines="50" w:line="500" w:lineRule="exact"/>
        <w:rPr>
          <w:rFonts w:ascii="Arial Narrow" w:hAnsi="Arial Narrow" w:eastAsia="仿宋_GB2312"/>
          <w:b/>
          <w:color w:val="auto"/>
          <w:sz w:val="28"/>
          <w:szCs w:val="28"/>
          <w:u w:val="single"/>
        </w:rPr>
      </w:pPr>
      <w:r>
        <w:rPr>
          <w:rFonts w:ascii="Arial Narrow" w:hAnsi="Arial Narrow" w:eastAsia="仿宋_GB2312"/>
          <w:b/>
          <w:color w:val="auto"/>
          <w:sz w:val="28"/>
          <w:szCs w:val="28"/>
        </w:rPr>
        <w:t>甲方：</w:t>
      </w:r>
      <w:r>
        <w:rPr>
          <w:rFonts w:ascii="Arial Narrow" w:hAnsi="Arial Narrow" w:eastAsia="仿宋_GB2312"/>
          <w:b/>
          <w:color w:val="auto"/>
          <w:sz w:val="28"/>
          <w:szCs w:val="28"/>
          <w:u w:val="single"/>
        </w:rPr>
        <w:t xml:space="preserve"> </w:t>
      </w:r>
      <w:r>
        <w:rPr>
          <w:rFonts w:hint="eastAsia" w:ascii="Arial Narrow" w:hAnsi="Arial Narrow" w:eastAsia="仿宋_GB2312"/>
          <w:b/>
          <w:color w:val="auto"/>
          <w:sz w:val="28"/>
          <w:szCs w:val="28"/>
          <w:u w:val="single"/>
        </w:rPr>
        <w:t>广西</w:t>
      </w:r>
      <w:r>
        <w:rPr>
          <w:rFonts w:ascii="Arial Narrow" w:hAnsi="Arial Narrow" w:eastAsia="仿宋_GB2312"/>
          <w:b/>
          <w:color w:val="auto"/>
          <w:sz w:val="28"/>
          <w:szCs w:val="28"/>
          <w:u w:val="single"/>
        </w:rPr>
        <w:t>孔雀湾投资开发有限公司</w:t>
      </w:r>
    </w:p>
    <w:p>
      <w:pPr>
        <w:snapToGrid w:val="0"/>
        <w:spacing w:before="120" w:beforeLines="50" w:line="500" w:lineRule="exact"/>
        <w:rPr>
          <w:rFonts w:ascii="Arial Narrow" w:hAnsi="Arial Narrow" w:eastAsia="仿宋_GB2312"/>
          <w:b/>
          <w:color w:val="auto"/>
          <w:sz w:val="28"/>
          <w:szCs w:val="28"/>
          <w:u w:val="single"/>
        </w:rPr>
      </w:pPr>
      <w:r>
        <w:rPr>
          <w:rFonts w:hint="eastAsia" w:ascii="Arial Narrow" w:hAnsi="Arial Narrow" w:eastAsia="仿宋_GB2312"/>
          <w:b/>
          <w:color w:val="auto"/>
          <w:sz w:val="28"/>
          <w:szCs w:val="28"/>
          <w:u w:val="single"/>
        </w:rPr>
        <w:t>法定代表人：</w:t>
      </w:r>
    </w:p>
    <w:p>
      <w:pPr>
        <w:snapToGrid w:val="0"/>
        <w:spacing w:before="120" w:beforeLines="50" w:line="500" w:lineRule="exact"/>
        <w:rPr>
          <w:rFonts w:ascii="Arial Narrow" w:hAnsi="Arial Narrow" w:eastAsia="仿宋_GB2312"/>
          <w:b/>
          <w:color w:val="auto"/>
          <w:sz w:val="28"/>
          <w:szCs w:val="28"/>
          <w:u w:val="single"/>
        </w:rPr>
      </w:pPr>
      <w:r>
        <w:rPr>
          <w:rFonts w:hint="eastAsia" w:ascii="Arial Narrow" w:hAnsi="Arial Narrow" w:eastAsia="仿宋_GB2312"/>
          <w:b/>
          <w:color w:val="auto"/>
          <w:sz w:val="28"/>
          <w:szCs w:val="28"/>
          <w:u w:val="single"/>
        </w:rPr>
        <w:t>统一社会信用代码：</w:t>
      </w:r>
    </w:p>
    <w:p>
      <w:pPr>
        <w:snapToGrid w:val="0"/>
        <w:spacing w:before="120" w:beforeLines="50" w:line="500" w:lineRule="exact"/>
        <w:rPr>
          <w:rFonts w:ascii="Arial Narrow" w:hAnsi="Arial Narrow" w:eastAsia="仿宋_GB2312"/>
          <w:b/>
          <w:color w:val="auto"/>
          <w:sz w:val="28"/>
          <w:szCs w:val="28"/>
          <w:u w:val="single"/>
        </w:rPr>
      </w:pPr>
      <w:r>
        <w:rPr>
          <w:rFonts w:hint="eastAsia" w:ascii="Arial Narrow" w:hAnsi="Arial Narrow" w:eastAsia="仿宋_GB2312"/>
          <w:b/>
          <w:color w:val="auto"/>
          <w:sz w:val="28"/>
          <w:szCs w:val="28"/>
          <w:u w:val="single"/>
        </w:rPr>
        <w:t>通讯地址：</w:t>
      </w:r>
    </w:p>
    <w:p>
      <w:pPr>
        <w:snapToGrid w:val="0"/>
        <w:spacing w:before="120" w:beforeLines="50" w:line="500" w:lineRule="exact"/>
        <w:rPr>
          <w:rFonts w:ascii="Arial Narrow" w:hAnsi="Arial Narrow" w:eastAsia="仿宋_GB2312"/>
          <w:color w:val="auto"/>
          <w:sz w:val="28"/>
          <w:szCs w:val="28"/>
          <w:u w:val="single"/>
        </w:rPr>
      </w:pPr>
    </w:p>
    <w:p>
      <w:pPr>
        <w:snapToGrid w:val="0"/>
        <w:spacing w:before="120" w:beforeLines="50" w:line="500" w:lineRule="exact"/>
        <w:rPr>
          <w:rFonts w:ascii="Arial Narrow" w:hAnsi="Arial Narrow" w:eastAsia="仿宋_GB2312"/>
          <w:b/>
          <w:color w:val="auto"/>
          <w:sz w:val="28"/>
          <w:szCs w:val="28"/>
          <w:u w:val="single"/>
        </w:rPr>
      </w:pPr>
      <w:r>
        <w:rPr>
          <w:rFonts w:ascii="Arial Narrow" w:hAnsi="Arial Narrow" w:eastAsia="仿宋_GB2312"/>
          <w:b/>
          <w:color w:val="auto"/>
          <w:sz w:val="28"/>
          <w:szCs w:val="28"/>
          <w:u w:val="single"/>
        </w:rPr>
        <w:t xml:space="preserve">乙方：                            </w:t>
      </w:r>
    </w:p>
    <w:p>
      <w:pPr>
        <w:snapToGrid w:val="0"/>
        <w:spacing w:before="120" w:beforeLines="50" w:line="500" w:lineRule="exact"/>
        <w:rPr>
          <w:rFonts w:ascii="Arial Narrow" w:hAnsi="Arial Narrow" w:eastAsia="仿宋_GB2312"/>
          <w:b/>
          <w:color w:val="auto"/>
          <w:sz w:val="28"/>
          <w:szCs w:val="28"/>
          <w:u w:val="single"/>
        </w:rPr>
      </w:pPr>
      <w:r>
        <w:rPr>
          <w:rFonts w:ascii="Arial Narrow" w:hAnsi="Arial Narrow" w:eastAsia="仿宋_GB2312"/>
          <w:b/>
          <w:color w:val="auto"/>
          <w:sz w:val="28"/>
          <w:szCs w:val="28"/>
          <w:u w:val="single"/>
        </w:rPr>
        <w:t>法定代表人：</w:t>
      </w:r>
    </w:p>
    <w:p>
      <w:pPr>
        <w:snapToGrid w:val="0"/>
        <w:spacing w:before="120" w:beforeLines="50" w:line="500" w:lineRule="exact"/>
        <w:rPr>
          <w:rFonts w:ascii="Arial Narrow" w:hAnsi="Arial Narrow" w:eastAsia="仿宋_GB2312"/>
          <w:b/>
          <w:color w:val="auto"/>
          <w:sz w:val="28"/>
          <w:szCs w:val="28"/>
          <w:u w:val="single"/>
        </w:rPr>
      </w:pPr>
      <w:r>
        <w:rPr>
          <w:rFonts w:ascii="Arial Narrow" w:hAnsi="Arial Narrow" w:eastAsia="仿宋_GB2312"/>
          <w:b/>
          <w:color w:val="auto"/>
          <w:sz w:val="28"/>
          <w:szCs w:val="28"/>
          <w:u w:val="single"/>
        </w:rPr>
        <w:t>统一社会信用代码：</w:t>
      </w:r>
    </w:p>
    <w:p>
      <w:pPr>
        <w:snapToGrid w:val="0"/>
        <w:spacing w:before="120" w:beforeLines="50" w:line="500" w:lineRule="exact"/>
        <w:rPr>
          <w:rFonts w:ascii="Arial Narrow" w:hAnsi="Arial Narrow" w:eastAsia="仿宋_GB2312"/>
          <w:b/>
          <w:color w:val="auto"/>
          <w:sz w:val="28"/>
          <w:szCs w:val="28"/>
          <w:u w:val="single"/>
        </w:rPr>
      </w:pPr>
      <w:r>
        <w:rPr>
          <w:rFonts w:ascii="Arial Narrow" w:hAnsi="Arial Narrow" w:eastAsia="仿宋_GB2312"/>
          <w:b/>
          <w:color w:val="auto"/>
          <w:sz w:val="28"/>
          <w:szCs w:val="28"/>
          <w:u w:val="single"/>
        </w:rPr>
        <w:t>通讯地址：</w:t>
      </w:r>
    </w:p>
    <w:p>
      <w:pPr>
        <w:pStyle w:val="17"/>
        <w:tabs>
          <w:tab w:val="clear" w:pos="705"/>
          <w:tab w:val="clear" w:pos="1440"/>
          <w:tab w:val="clear" w:pos="2304"/>
          <w:tab w:val="clear" w:pos="10425"/>
        </w:tabs>
        <w:spacing w:before="120" w:beforeLines="50" w:line="500" w:lineRule="exact"/>
        <w:ind w:firstLine="560" w:firstLineChars="200"/>
        <w:rPr>
          <w:rFonts w:ascii="Arial Narrow" w:hAnsi="Arial Narrow" w:eastAsia="仿宋_GB2312"/>
          <w:color w:val="auto"/>
          <w:kern w:val="2"/>
          <w:sz w:val="28"/>
          <w:szCs w:val="28"/>
        </w:rPr>
      </w:pPr>
    </w:p>
    <w:p>
      <w:pPr>
        <w:pStyle w:val="17"/>
        <w:tabs>
          <w:tab w:val="clear" w:pos="705"/>
          <w:tab w:val="clear" w:pos="1440"/>
          <w:tab w:val="clear" w:pos="2304"/>
          <w:tab w:val="clear" w:pos="10425"/>
        </w:tabs>
        <w:spacing w:line="500" w:lineRule="exact"/>
        <w:ind w:firstLine="560" w:firstLineChars="200"/>
        <w:rPr>
          <w:rFonts w:ascii="Arial Narrow" w:hAnsi="Arial Narrow" w:eastAsia="仿宋_GB2312"/>
          <w:color w:val="auto"/>
          <w:kern w:val="2"/>
          <w:sz w:val="28"/>
          <w:szCs w:val="28"/>
        </w:rPr>
      </w:pPr>
      <w:r>
        <w:rPr>
          <w:rFonts w:hint="eastAsia" w:ascii="Arial Narrow" w:hAnsi="Arial Narrow" w:eastAsia="仿宋_GB2312"/>
          <w:color w:val="auto"/>
          <w:kern w:val="2"/>
          <w:sz w:val="28"/>
          <w:szCs w:val="28"/>
        </w:rPr>
        <w:t>兹由甲方委托乙方对中马广场一期项目基本建设工程竣工财务决算及有关的文件资料进行审核，经双方协商，达成以下约定：</w:t>
      </w:r>
    </w:p>
    <w:p>
      <w:pPr>
        <w:autoSpaceDE w:val="0"/>
        <w:autoSpaceDN w:val="0"/>
        <w:adjustRightInd w:val="0"/>
        <w:snapToGrid w:val="0"/>
        <w:spacing w:before="120" w:beforeLines="50" w:line="500" w:lineRule="exact"/>
        <w:ind w:firstLine="562" w:firstLineChars="200"/>
        <w:rPr>
          <w:rFonts w:ascii="Arial Narrow" w:hAnsi="Arial Narrow" w:eastAsia="仿宋_GB2312"/>
          <w:b/>
          <w:color w:val="auto"/>
          <w:kern w:val="0"/>
          <w:sz w:val="28"/>
          <w:szCs w:val="28"/>
        </w:rPr>
      </w:pPr>
      <w:r>
        <w:rPr>
          <w:rFonts w:hint="eastAsia" w:ascii="Arial Narrow" w:hAnsi="Arial Narrow" w:eastAsia="仿宋_GB2312"/>
          <w:b/>
          <w:color w:val="auto"/>
          <w:kern w:val="0"/>
          <w:sz w:val="28"/>
          <w:szCs w:val="28"/>
        </w:rPr>
        <w:t>一、</w:t>
      </w:r>
      <w:r>
        <w:rPr>
          <w:rFonts w:ascii="Arial Narrow" w:hAnsi="Arial Narrow" w:eastAsia="仿宋_GB2312"/>
          <w:b/>
          <w:color w:val="auto"/>
          <w:kern w:val="0"/>
          <w:sz w:val="28"/>
          <w:szCs w:val="28"/>
        </w:rPr>
        <w:t>审计的目标和范围</w:t>
      </w:r>
    </w:p>
    <w:p>
      <w:pPr>
        <w:pStyle w:val="17"/>
        <w:tabs>
          <w:tab w:val="clear" w:pos="705"/>
          <w:tab w:val="clear" w:pos="1440"/>
          <w:tab w:val="clear" w:pos="2304"/>
          <w:tab w:val="clear" w:pos="10425"/>
        </w:tabs>
        <w:spacing w:before="120" w:beforeLines="50" w:line="500" w:lineRule="exact"/>
        <w:ind w:firstLine="560" w:firstLineChars="200"/>
        <w:rPr>
          <w:rFonts w:ascii="Arial Narrow" w:hAnsi="Arial Narrow" w:eastAsia="仿宋_GB2312"/>
          <w:color w:val="auto"/>
          <w:kern w:val="2"/>
          <w:sz w:val="28"/>
          <w:szCs w:val="28"/>
        </w:rPr>
      </w:pPr>
      <w:r>
        <w:rPr>
          <w:rFonts w:hint="eastAsia" w:ascii="Arial Narrow" w:hAnsi="Arial Narrow" w:eastAsia="仿宋_GB2312"/>
          <w:color w:val="auto"/>
          <w:kern w:val="2"/>
          <w:sz w:val="28"/>
          <w:szCs w:val="28"/>
        </w:rPr>
        <w:t>1、乙方接受甲方委托，对甲方中马广场一期项目基本建设工程竣工财务决算及有关的文件资料进行审核。具体为：</w:t>
      </w:r>
    </w:p>
    <w:p>
      <w:pPr>
        <w:pStyle w:val="17"/>
        <w:tabs>
          <w:tab w:val="clear" w:pos="705"/>
          <w:tab w:val="clear" w:pos="1440"/>
          <w:tab w:val="clear" w:pos="2304"/>
          <w:tab w:val="clear" w:pos="10425"/>
        </w:tabs>
        <w:spacing w:before="120" w:beforeLines="50" w:line="500" w:lineRule="exact"/>
        <w:ind w:firstLine="560" w:firstLineChars="200"/>
        <w:rPr>
          <w:rFonts w:ascii="Arial Narrow" w:hAnsi="Arial Narrow" w:eastAsia="仿宋_GB2312"/>
          <w:color w:val="auto"/>
          <w:kern w:val="2"/>
          <w:sz w:val="28"/>
          <w:szCs w:val="28"/>
        </w:rPr>
      </w:pPr>
      <w:r>
        <w:rPr>
          <w:rFonts w:hint="eastAsia" w:ascii="Arial Narrow" w:hAnsi="Arial Narrow" w:eastAsia="仿宋_GB2312"/>
          <w:color w:val="auto"/>
          <w:kern w:val="2"/>
          <w:sz w:val="28"/>
          <w:szCs w:val="28"/>
        </w:rPr>
        <w:t>（1）审核工程项目概算执行情况。有无计划外建设项目，有无自行扩大建设规模和提高建设标准的情况，有无未完工程、未建工程和报废工程，是否经主管部门审批；</w:t>
      </w:r>
    </w:p>
    <w:p>
      <w:pPr>
        <w:pStyle w:val="17"/>
        <w:tabs>
          <w:tab w:val="clear" w:pos="705"/>
          <w:tab w:val="clear" w:pos="1440"/>
          <w:tab w:val="clear" w:pos="2304"/>
          <w:tab w:val="clear" w:pos="10425"/>
        </w:tabs>
        <w:spacing w:before="120" w:beforeLines="50" w:line="500" w:lineRule="exact"/>
        <w:ind w:firstLine="560" w:firstLineChars="200"/>
        <w:rPr>
          <w:rFonts w:ascii="Arial Narrow" w:hAnsi="Arial Narrow" w:eastAsia="仿宋_GB2312"/>
          <w:color w:val="auto"/>
          <w:kern w:val="2"/>
          <w:sz w:val="28"/>
          <w:szCs w:val="28"/>
        </w:rPr>
      </w:pPr>
      <w:r>
        <w:rPr>
          <w:rFonts w:hint="eastAsia" w:ascii="Arial Narrow" w:hAnsi="Arial Narrow" w:eastAsia="仿宋_GB2312"/>
          <w:color w:val="auto"/>
          <w:kern w:val="2"/>
          <w:sz w:val="28"/>
          <w:szCs w:val="28"/>
        </w:rPr>
        <w:t>（2）工程项目资金来源、支出及结余等财务情况，各项工程建设支出是否合法，共同费用分摊是否合理；</w:t>
      </w:r>
    </w:p>
    <w:p>
      <w:pPr>
        <w:pStyle w:val="17"/>
        <w:tabs>
          <w:tab w:val="clear" w:pos="705"/>
          <w:tab w:val="clear" w:pos="1440"/>
          <w:tab w:val="clear" w:pos="2304"/>
          <w:tab w:val="clear" w:pos="10425"/>
        </w:tabs>
        <w:spacing w:before="120" w:beforeLines="50" w:line="500" w:lineRule="exact"/>
        <w:ind w:firstLine="560" w:firstLineChars="200"/>
        <w:rPr>
          <w:rFonts w:ascii="Arial Narrow" w:hAnsi="Arial Narrow" w:eastAsia="仿宋_GB2312"/>
          <w:color w:val="auto"/>
          <w:kern w:val="2"/>
          <w:sz w:val="28"/>
          <w:szCs w:val="28"/>
        </w:rPr>
      </w:pPr>
      <w:r>
        <w:rPr>
          <w:rFonts w:hint="eastAsia" w:ascii="Arial Narrow" w:hAnsi="Arial Narrow" w:eastAsia="仿宋_GB2312"/>
          <w:color w:val="auto"/>
          <w:kern w:val="2"/>
          <w:sz w:val="28"/>
          <w:szCs w:val="28"/>
        </w:rPr>
        <w:t>（3）工程项目合同执行情况；</w:t>
      </w:r>
    </w:p>
    <w:p>
      <w:pPr>
        <w:pStyle w:val="17"/>
        <w:tabs>
          <w:tab w:val="clear" w:pos="705"/>
          <w:tab w:val="clear" w:pos="1440"/>
          <w:tab w:val="clear" w:pos="2304"/>
          <w:tab w:val="clear" w:pos="10425"/>
        </w:tabs>
        <w:spacing w:before="120" w:beforeLines="50" w:line="500" w:lineRule="exact"/>
        <w:ind w:firstLine="560" w:firstLineChars="200"/>
        <w:rPr>
          <w:rFonts w:ascii="Arial Narrow" w:hAnsi="Arial Narrow" w:eastAsia="仿宋_GB2312"/>
          <w:color w:val="auto"/>
          <w:kern w:val="2"/>
          <w:sz w:val="28"/>
          <w:szCs w:val="28"/>
        </w:rPr>
      </w:pPr>
      <w:r>
        <w:rPr>
          <w:rFonts w:hint="eastAsia" w:ascii="Arial Narrow" w:hAnsi="Arial Narrow" w:eastAsia="仿宋_GB2312"/>
          <w:color w:val="auto"/>
          <w:kern w:val="2"/>
          <w:sz w:val="28"/>
          <w:szCs w:val="28"/>
        </w:rPr>
        <w:t>（4）交付使用资产情况。交付使用的资产是否符合条件以及是否真实，有无虚报完成及虚列应付债务或转移基建资金等情况；</w:t>
      </w:r>
    </w:p>
    <w:p>
      <w:pPr>
        <w:pStyle w:val="17"/>
        <w:tabs>
          <w:tab w:val="clear" w:pos="705"/>
          <w:tab w:val="clear" w:pos="1440"/>
          <w:tab w:val="clear" w:pos="2304"/>
          <w:tab w:val="clear" w:pos="10425"/>
        </w:tabs>
        <w:spacing w:before="120" w:beforeLines="50" w:line="500" w:lineRule="exact"/>
        <w:ind w:firstLine="560" w:firstLineChars="200"/>
        <w:rPr>
          <w:rFonts w:ascii="Arial Narrow" w:hAnsi="Arial Narrow" w:eastAsia="仿宋_GB2312"/>
          <w:color w:val="auto"/>
          <w:kern w:val="2"/>
          <w:sz w:val="28"/>
          <w:szCs w:val="28"/>
        </w:rPr>
      </w:pPr>
      <w:r>
        <w:rPr>
          <w:rFonts w:hint="eastAsia" w:ascii="Arial Narrow" w:hAnsi="Arial Narrow" w:eastAsia="仿宋_GB2312"/>
          <w:color w:val="auto"/>
          <w:kern w:val="2"/>
          <w:sz w:val="28"/>
          <w:szCs w:val="28"/>
        </w:rPr>
        <w:t>（5）有必要审核的其他情况。</w:t>
      </w:r>
    </w:p>
    <w:p>
      <w:pPr>
        <w:pStyle w:val="17"/>
        <w:tabs>
          <w:tab w:val="clear" w:pos="705"/>
          <w:tab w:val="clear" w:pos="1440"/>
          <w:tab w:val="clear" w:pos="2304"/>
          <w:tab w:val="clear" w:pos="10425"/>
        </w:tabs>
        <w:spacing w:before="120" w:beforeLines="50" w:line="500" w:lineRule="exact"/>
        <w:ind w:firstLine="560" w:firstLineChars="200"/>
        <w:rPr>
          <w:rFonts w:ascii="Arial Narrow" w:hAnsi="Arial Narrow" w:eastAsia="仿宋_GB2312"/>
          <w:color w:val="auto"/>
          <w:kern w:val="2"/>
          <w:sz w:val="28"/>
          <w:szCs w:val="28"/>
        </w:rPr>
      </w:pPr>
      <w:r>
        <w:rPr>
          <w:rFonts w:hint="eastAsia" w:ascii="Arial Narrow" w:hAnsi="Arial Narrow" w:eastAsia="仿宋_GB2312"/>
          <w:color w:val="auto"/>
          <w:kern w:val="2"/>
          <w:sz w:val="28"/>
          <w:szCs w:val="28"/>
        </w:rPr>
        <w:t>2、乙方通过执行审计工作，对甲方编报的初步竣工财务决算的真实性、合法性、完整性进行审核，在上述审核的基础上，对工程项目实际造价及建设成果发表审核意见，为甲方审批竣工财务决算提供依据。</w:t>
      </w:r>
    </w:p>
    <w:p>
      <w:pPr>
        <w:pStyle w:val="17"/>
        <w:tabs>
          <w:tab w:val="clear" w:pos="705"/>
          <w:tab w:val="clear" w:pos="1440"/>
          <w:tab w:val="clear" w:pos="2304"/>
          <w:tab w:val="clear" w:pos="10425"/>
        </w:tabs>
        <w:spacing w:before="120" w:beforeLines="50" w:line="500" w:lineRule="exact"/>
        <w:ind w:firstLine="562" w:firstLineChars="200"/>
        <w:rPr>
          <w:rFonts w:ascii="Arial Narrow" w:hAnsi="Arial Narrow" w:eastAsia="仿宋_GB2312"/>
          <w:b/>
          <w:color w:val="auto"/>
          <w:sz w:val="28"/>
          <w:szCs w:val="28"/>
        </w:rPr>
      </w:pPr>
      <w:r>
        <w:rPr>
          <w:rFonts w:hint="eastAsia" w:ascii="Arial Narrow" w:hAnsi="Arial Narrow" w:eastAsia="仿宋_GB2312"/>
          <w:b/>
          <w:color w:val="auto"/>
          <w:sz w:val="28"/>
          <w:szCs w:val="28"/>
        </w:rPr>
        <w:t>二、甲方的责任</w:t>
      </w:r>
    </w:p>
    <w:p>
      <w:pPr>
        <w:pStyle w:val="17"/>
        <w:tabs>
          <w:tab w:val="clear" w:pos="705"/>
          <w:tab w:val="clear" w:pos="1440"/>
          <w:tab w:val="clear" w:pos="2304"/>
          <w:tab w:val="clear" w:pos="10425"/>
        </w:tabs>
        <w:spacing w:before="120" w:beforeLines="50" w:line="500" w:lineRule="exact"/>
        <w:ind w:firstLine="560" w:firstLineChars="200"/>
        <w:rPr>
          <w:rFonts w:ascii="Arial Narrow" w:hAnsi="Arial Narrow" w:eastAsia="仿宋_GB2312"/>
          <w:color w:val="auto"/>
          <w:kern w:val="2"/>
          <w:sz w:val="28"/>
          <w:szCs w:val="28"/>
        </w:rPr>
      </w:pPr>
      <w:r>
        <w:rPr>
          <w:rFonts w:hint="eastAsia" w:ascii="Arial Narrow" w:hAnsi="Arial Narrow" w:eastAsia="仿宋_GB2312"/>
          <w:color w:val="auto"/>
          <w:kern w:val="2"/>
          <w:sz w:val="28"/>
          <w:szCs w:val="28"/>
        </w:rPr>
        <w:t>1、甲方的责任是建立可靠的内部控制系统，保护资产的安全及保证会计信息的真实性，合法性和完整性。甲方亦有责任确保工程竣工财务决算按照相关的法律、法规编制,在所有重要方面，真实、公允地反映中马广场一期项目的建设情况。</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2、确保乙方不受限制地接触任何与审核有关的记录、文件和所需的其他信息（在20××年×月×日之前提供审核所需的全部资料，如果在审核过程中需要补充资料，亦应及时提供），并保证所提供资料的真实性和完整性。</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3、确保乙方不受限制地接触其认为必要的甲方内部人员和其他相关人员。</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4、甲方管理层对其作出的与审核有关的声明予以书面确认。</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5、为乙方派出的有关工作人员提供必要的工作条件和协助，乙方将于外勤工作开始前提供主要事项清单。</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6、按照本约定书的约定及时足额支付审计费用以及乙方人员在审计期间的交通、食宿和其他相关费用。</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7、乙方的审核不能减轻甲方及甲方管理层的责任。由于审核和内部控制的固有限制，即使按照审计准则的规定适当地计划和执行审核工作，仍不可避免地存在财务报表的某些重大错报可能未被乙方发现的风险，甲方对此表示理解并同意。</w:t>
      </w:r>
    </w:p>
    <w:p>
      <w:pPr>
        <w:pStyle w:val="18"/>
        <w:spacing w:line="500" w:lineRule="exact"/>
        <w:ind w:left="0" w:firstLine="560" w:firstLineChars="200"/>
        <w:rPr>
          <w:rFonts w:ascii="Arial Narrow" w:hAnsi="Arial Narrow" w:eastAsia="仿宋_GB2312"/>
          <w:color w:val="auto"/>
          <w:kern w:val="2"/>
          <w:sz w:val="28"/>
          <w:szCs w:val="28"/>
          <w:lang w:eastAsia="zh-CN"/>
        </w:rPr>
      </w:pPr>
      <w:r>
        <w:rPr>
          <w:rFonts w:hint="eastAsia" w:ascii="Arial Narrow" w:hAnsi="Arial Narrow" w:eastAsia="仿宋_GB2312"/>
          <w:color w:val="auto"/>
          <w:kern w:val="2"/>
          <w:sz w:val="28"/>
          <w:szCs w:val="28"/>
          <w:lang w:eastAsia="zh-CN"/>
        </w:rPr>
        <w:t>8、允许乙方接触与本次审核相关的所有信息，如记录、文件和其他事项；甲方提供的相关信息中如有涉及国家秘密、国家安全或者重大利益的重大敏感信息，应当在提供时以书面形式明确告知乙方。</w:t>
      </w:r>
    </w:p>
    <w:p>
      <w:pPr>
        <w:autoSpaceDE w:val="0"/>
        <w:autoSpaceDN w:val="0"/>
        <w:spacing w:before="120" w:beforeLines="50" w:line="500" w:lineRule="exact"/>
        <w:ind w:firstLine="562" w:firstLineChars="200"/>
        <w:rPr>
          <w:rFonts w:ascii="Arial Narrow" w:hAnsi="Arial Narrow" w:eastAsia="仿宋_GB2312"/>
          <w:b/>
          <w:color w:val="auto"/>
          <w:kern w:val="0"/>
          <w:sz w:val="28"/>
          <w:szCs w:val="28"/>
        </w:rPr>
      </w:pPr>
      <w:r>
        <w:rPr>
          <w:rFonts w:hint="eastAsia" w:ascii="Arial Narrow" w:hAnsi="Arial Narrow" w:eastAsia="仿宋_GB2312"/>
          <w:b/>
          <w:color w:val="auto"/>
          <w:kern w:val="0"/>
          <w:sz w:val="28"/>
          <w:szCs w:val="28"/>
        </w:rPr>
        <w:t>三、乙方的责任</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1、乙方的责任是依据中国注册会计师审计准则、财政部《会计师事务所从事基本建设工程预算、结算、决算审核暂行办法》出具审核报告，并保证审核报告的真实性和合法性。</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2、在审核过程中，乙方若发现甲方内部控制存在乙方认为的重要缺陷，应向甲方提交管理建议书。但乙方在管理建议书中提出的各种事项，并不代表已全面说明所有可能存在的缺陷或已提出所有可行的改善建议。甲方在实施乙方提出的改善建议前应全面评估其影响。未经乙方书面许可，甲方不得向任何第三方提供乙方出具的管理建议书。</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3、按照约定时间完成审计工作，出具审核报告。</w:t>
      </w:r>
      <w:r>
        <w:rPr>
          <w:rFonts w:hint="eastAsia" w:ascii="Arial Narrow" w:hAnsi="Arial Narrow" w:eastAsia="仿宋_GB2312"/>
          <w:color w:val="auto"/>
          <w:sz w:val="28"/>
          <w:szCs w:val="28"/>
          <w:lang w:val="en-GB"/>
        </w:rPr>
        <w:t>乙方应于201×年×月×日前出具审计报告。</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4、除下列情况外，乙方应当对执行业务过程中知悉的甲方信息予以保密：</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（1）法律法规允许披露，并取得甲方的授权；</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（2）根据法律法规的要求，为法律诉讼、仲裁准备文件或提供证据，以及向监管机构报告发现的违法行为；</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（3）在法律法规允许的情况下，在法律诉讼、仲裁中维护自己的合法权益；</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（4）接受注册会计师协会或监管机构的执业质量检查，答复其询问和调查；</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（5）向注册会计师协或监管机构进行报备；</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（6）甲方已自行披露，或已被第三方披露；</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（7）公安机关、人民检察院、人民法院等公权力机关依法调取；</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（8）法律法规、执业准则和职业道德规范规定的其他情形。</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5、审核报告签发日之后，乙方无直接责任去考虑或查明可能影响该期间的基本建设项目竣工财务决算表【或 基本建设工程预算书、基本建设工程结算书】的期后事项。但是，甲方应将在审核报告签发日之后可能影响财务报表的任何重大事项的发生或任何重大事实的发现通知乙方。</w:t>
      </w:r>
    </w:p>
    <w:p>
      <w:pPr>
        <w:autoSpaceDE w:val="0"/>
        <w:autoSpaceDN w:val="0"/>
        <w:spacing w:before="120" w:beforeLines="50" w:line="500" w:lineRule="exact"/>
        <w:ind w:firstLine="562" w:firstLineChars="200"/>
        <w:rPr>
          <w:rFonts w:ascii="Arial Narrow" w:hAnsi="Arial Narrow" w:eastAsia="仿宋_GB2312"/>
          <w:b/>
          <w:color w:val="auto"/>
          <w:kern w:val="0"/>
          <w:sz w:val="28"/>
          <w:szCs w:val="28"/>
        </w:rPr>
      </w:pPr>
      <w:r>
        <w:rPr>
          <w:rFonts w:hint="eastAsia" w:ascii="Arial Narrow" w:hAnsi="Arial Narrow" w:eastAsia="仿宋_GB2312"/>
          <w:b/>
          <w:color w:val="auto"/>
          <w:kern w:val="0"/>
          <w:sz w:val="28"/>
          <w:szCs w:val="28"/>
        </w:rPr>
        <w:t>四、审核收费</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1、本次审核服务的收费是以乙方各级别工作人员在本次工作中所耗费的时间为基础计算的。双方商定本次审核服务的费用总额为人民币XX元（￥××）（税率   %），其中不含税价为人民币***元（￥**），增值税额为人民币***元（￥***）。上述服务收费包含增值税。</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2、甲方</w:t>
      </w:r>
      <w:r>
        <w:rPr>
          <w:rFonts w:hint="eastAsia" w:ascii="Arial Narrow" w:hAnsi="Arial Narrow" w:eastAsia="仿宋_GB2312"/>
          <w:color w:val="auto"/>
          <w:sz w:val="28"/>
          <w:szCs w:val="28"/>
          <w:lang w:eastAsia="zh-CN"/>
        </w:rPr>
        <w:t>在收到</w:t>
      </w:r>
      <w:r>
        <w:rPr>
          <w:rFonts w:hint="eastAsia" w:ascii="Arial Narrow" w:hAnsi="Arial Narrow" w:eastAsia="仿宋_GB2312"/>
          <w:color w:val="auto"/>
          <w:sz w:val="28"/>
          <w:szCs w:val="28"/>
        </w:rPr>
        <w:t>乙方提交最终审计报告</w:t>
      </w:r>
      <w:r>
        <w:rPr>
          <w:rFonts w:hint="eastAsia" w:ascii="Arial Narrow" w:hAnsi="Arial Narrow" w:eastAsia="仿宋_GB2312"/>
          <w:color w:val="auto"/>
          <w:sz w:val="28"/>
          <w:szCs w:val="28"/>
          <w:lang w:eastAsia="zh-CN"/>
        </w:rPr>
        <w:t>和</w:t>
      </w:r>
      <w:r>
        <w:rPr>
          <w:rFonts w:hint="eastAsia" w:ascii="Arial Narrow" w:hAnsi="Arial Narrow" w:eastAsia="仿宋_GB2312"/>
          <w:color w:val="auto"/>
          <w:sz w:val="28"/>
          <w:szCs w:val="28"/>
        </w:rPr>
        <w:t>合法增值税专用发票后</w:t>
      </w:r>
      <w:r>
        <w:rPr>
          <w:rFonts w:hint="eastAsia" w:ascii="Arial Narrow" w:hAnsi="Arial Narrow" w:eastAsia="仿宋_GB2312"/>
          <w:color w:val="auto"/>
          <w:sz w:val="28"/>
          <w:szCs w:val="28"/>
          <w:lang w:val="en-US" w:eastAsia="zh-CN"/>
        </w:rPr>
        <w:t>30</w:t>
      </w:r>
      <w:r>
        <w:rPr>
          <w:rFonts w:hint="eastAsia" w:ascii="Arial Narrow" w:hAnsi="Arial Narrow" w:eastAsia="仿宋_GB2312"/>
          <w:color w:val="auto"/>
          <w:sz w:val="28"/>
          <w:szCs w:val="28"/>
        </w:rPr>
        <w:t>日</w:t>
      </w:r>
      <w:r>
        <w:rPr>
          <w:rFonts w:hint="eastAsia" w:ascii="Arial Narrow" w:hAnsi="Arial Narrow" w:eastAsia="仿宋_GB2312"/>
          <w:color w:val="auto"/>
          <w:sz w:val="28"/>
          <w:szCs w:val="28"/>
          <w:lang w:eastAsia="zh-CN"/>
        </w:rPr>
        <w:t>内一次性向乙方支付审核服务费</w:t>
      </w:r>
      <w:r>
        <w:rPr>
          <w:rFonts w:hint="eastAsia" w:ascii="Arial Narrow" w:hAnsi="Arial Narrow" w:eastAsia="仿宋_GB2312"/>
          <w:color w:val="auto"/>
          <w:sz w:val="28"/>
          <w:szCs w:val="28"/>
        </w:rPr>
        <w:t xml:space="preserve">。 </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3、与本次审核有关的其他费用（包括函证、交通费、食宿费等）由乙方承担。</w:t>
      </w:r>
    </w:p>
    <w:p>
      <w:pPr>
        <w:autoSpaceDE w:val="0"/>
        <w:autoSpaceDN w:val="0"/>
        <w:spacing w:before="120" w:beforeLines="50" w:line="500" w:lineRule="exact"/>
        <w:ind w:firstLine="562" w:firstLineChars="200"/>
        <w:rPr>
          <w:rFonts w:ascii="Arial Narrow" w:hAnsi="Arial Narrow" w:eastAsia="仿宋_GB2312"/>
          <w:b/>
          <w:color w:val="auto"/>
          <w:kern w:val="0"/>
          <w:sz w:val="28"/>
          <w:szCs w:val="28"/>
        </w:rPr>
      </w:pPr>
      <w:r>
        <w:rPr>
          <w:rFonts w:hint="eastAsia" w:ascii="Arial Narrow" w:hAnsi="Arial Narrow" w:eastAsia="仿宋_GB2312"/>
          <w:b/>
          <w:color w:val="auto"/>
          <w:kern w:val="0"/>
          <w:sz w:val="28"/>
          <w:szCs w:val="28"/>
        </w:rPr>
        <w:t>五、审核报告和审核报告的使用</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1、乙方按照中国注册会计师审计准则、财政部《会计师事务所从事基本建设工程预算、结算、决算审核暂行办法》出具审核报告。</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2、乙方应在****年**月**日前向甲方出具审核报告一式××份。</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3、甲方在提交或对外公布乙方出具的审核报告及其后附的已审基本建设项目竣工财务决算表【或 基本建设工程预算书、基本建设工程结算书】时，不得对其进行修改。当甲方认为有必要修改会计数据、报表附注和所作的说明时，应当事先通知乙方，乙方将考虑有关的修改对审核报告的影响，必要时，将重新出具审核报告。</w:t>
      </w:r>
    </w:p>
    <w:p>
      <w:pPr>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4、甲方应正确并合法使用乙方出具的审核报告，由于使用不当所造成的后果，与乙方无关。</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 xml:space="preserve">5、出具审核报告的时间要求 </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（1）如甲方及/或被审核单位能完全配合乙方的审核计划进度，及时提供审核资料和人员配合，乙方将按时完成审核报告提交给甲方。</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（2）如甲方及/或被审核单位未能完全配合乙方的审计工作进度，及时提供审计资料和人员配合，影响审核工作的进度，则出具审核报告的时间将视甲方的资料提供及人员配合情况相应顺延。</w:t>
      </w:r>
    </w:p>
    <w:p>
      <w:pPr>
        <w:autoSpaceDE w:val="0"/>
        <w:autoSpaceDN w:val="0"/>
        <w:spacing w:before="120" w:beforeLines="50" w:line="500" w:lineRule="exact"/>
        <w:ind w:firstLine="562" w:firstLineChars="200"/>
        <w:rPr>
          <w:rFonts w:ascii="Arial Narrow" w:hAnsi="Arial Narrow" w:eastAsia="仿宋_GB2312"/>
          <w:b/>
          <w:color w:val="auto"/>
          <w:kern w:val="0"/>
          <w:sz w:val="28"/>
          <w:szCs w:val="28"/>
        </w:rPr>
      </w:pPr>
      <w:r>
        <w:rPr>
          <w:rFonts w:hint="eastAsia" w:ascii="Arial Narrow" w:hAnsi="Arial Narrow" w:eastAsia="仿宋_GB2312"/>
          <w:b/>
          <w:color w:val="auto"/>
          <w:kern w:val="0"/>
          <w:sz w:val="28"/>
          <w:szCs w:val="28"/>
        </w:rPr>
        <w:t>六、本约定书的有效期间</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本约定书自签署之日起生效，并在双方履行完毕本约定书约定的所有义务后终止。但其中第三条第4、及第四、五、八、九、十条并不因本约定书终止而失效。</w:t>
      </w:r>
    </w:p>
    <w:p>
      <w:pPr>
        <w:autoSpaceDE w:val="0"/>
        <w:autoSpaceDN w:val="0"/>
        <w:spacing w:before="120" w:beforeLines="50" w:line="500" w:lineRule="exact"/>
        <w:ind w:firstLine="562" w:firstLineChars="200"/>
        <w:rPr>
          <w:rFonts w:ascii="Arial Narrow" w:hAnsi="Arial Narrow" w:eastAsia="仿宋_GB2312"/>
          <w:b/>
          <w:color w:val="auto"/>
          <w:kern w:val="0"/>
          <w:sz w:val="28"/>
          <w:szCs w:val="28"/>
        </w:rPr>
      </w:pPr>
      <w:r>
        <w:rPr>
          <w:rFonts w:hint="eastAsia" w:ascii="Arial Narrow" w:hAnsi="Arial Narrow" w:eastAsia="仿宋_GB2312"/>
          <w:b/>
          <w:color w:val="auto"/>
          <w:kern w:val="0"/>
          <w:sz w:val="28"/>
          <w:szCs w:val="28"/>
        </w:rPr>
        <w:t>七、约定事项的变更</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如果出现不可预见的情况，影响审核工作如期完成，或需要提前出具审核报告时，甲乙双方均可要求变更约定事项，但应及时通知对方，并由双方协商解决。</w:t>
      </w:r>
    </w:p>
    <w:p>
      <w:pPr>
        <w:autoSpaceDE w:val="0"/>
        <w:autoSpaceDN w:val="0"/>
        <w:spacing w:before="120" w:beforeLines="50" w:line="500" w:lineRule="exact"/>
        <w:ind w:firstLine="562" w:firstLineChars="200"/>
        <w:rPr>
          <w:rFonts w:ascii="Arial Narrow" w:hAnsi="Arial Narrow" w:eastAsia="仿宋_GB2312"/>
          <w:b/>
          <w:color w:val="auto"/>
          <w:kern w:val="0"/>
          <w:sz w:val="28"/>
          <w:szCs w:val="28"/>
        </w:rPr>
      </w:pPr>
      <w:r>
        <w:rPr>
          <w:rFonts w:hint="eastAsia" w:ascii="Arial Narrow" w:hAnsi="Arial Narrow" w:eastAsia="仿宋_GB2312"/>
          <w:b/>
          <w:color w:val="auto"/>
          <w:kern w:val="0"/>
          <w:sz w:val="28"/>
          <w:szCs w:val="28"/>
        </w:rPr>
        <w:t>八、终止条款</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1、如果根据乙方的职业道德及其他有关专业职责、适用的法律、法规或其他任何法定的要求，乙方认为已不适宜继续为甲方提供本约定书约定的审核服务时，乙方可以采取向甲方提出合理通知的方式终止履行本约定书。</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2、在终止业务约定的情况下，乙方有权就其于本约定书终止之日前对约定的审核服务项目所做的工作收取合理的审核费用。</w:t>
      </w:r>
    </w:p>
    <w:p>
      <w:pPr>
        <w:autoSpaceDE w:val="0"/>
        <w:autoSpaceDN w:val="0"/>
        <w:spacing w:before="120" w:beforeLines="50" w:line="500" w:lineRule="exact"/>
        <w:ind w:firstLine="562" w:firstLineChars="200"/>
        <w:rPr>
          <w:rFonts w:ascii="仿宋_GB2312" w:hAnsi="宋体" w:eastAsia="仿宋_GB2312"/>
          <w:color w:val="auto"/>
          <w:sz w:val="28"/>
          <w:szCs w:val="28"/>
        </w:rPr>
      </w:pPr>
      <w:r>
        <w:rPr>
          <w:rFonts w:hint="eastAsia" w:ascii="Arial Narrow" w:hAnsi="Arial Narrow" w:eastAsia="仿宋_GB2312"/>
          <w:b/>
          <w:color w:val="auto"/>
          <w:kern w:val="0"/>
          <w:sz w:val="28"/>
          <w:szCs w:val="28"/>
        </w:rPr>
        <w:t>九、违约责任</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一）乙方违反本约定书，不能在约定时间内提供审计报告的，每延期一日，支付合同总金额1﹪的违约金给甲方；逾期达15日的，甲方有权解除合同，且不支付未付款项，并有权要求乙方按合同总金额的20%支付违约金。</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（二）因乙方自身原因导致出具的审计报告不符合《会计准则》等规范或要求、行业专业水准或国家规定的质量标准的，乙方应退还所收取的审计服务费，并赔偿因此给甲方造成的损失。</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（三）乙方如违反合同约定保密义务的，应当向甲方支付违约金*****万元，并赔偿甲方因此造成的全部损失。</w:t>
      </w:r>
    </w:p>
    <w:p>
      <w:pPr>
        <w:autoSpaceDE w:val="0"/>
        <w:autoSpaceDN w:val="0"/>
        <w:spacing w:before="120" w:beforeLines="50" w:line="500" w:lineRule="exact"/>
        <w:ind w:firstLine="562" w:firstLineChars="200"/>
        <w:rPr>
          <w:rFonts w:ascii="Arial Narrow" w:hAnsi="Arial Narrow" w:eastAsia="仿宋_GB2312"/>
          <w:b/>
          <w:color w:val="auto"/>
          <w:kern w:val="0"/>
          <w:sz w:val="28"/>
          <w:szCs w:val="28"/>
        </w:rPr>
      </w:pPr>
      <w:r>
        <w:rPr>
          <w:rFonts w:hint="eastAsia" w:ascii="Arial Narrow" w:hAnsi="Arial Narrow" w:eastAsia="仿宋_GB2312"/>
          <w:b/>
          <w:color w:val="auto"/>
          <w:kern w:val="0"/>
          <w:sz w:val="28"/>
          <w:szCs w:val="28"/>
        </w:rPr>
        <w:t>十、适用法律和争议解决</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本约定书的所有条款均应适用中华人民共和国法律进行解释并受其约束。本约定书履行地为甲方所在地，因本约定书所引起的或与本约定书有关的任何纠纷或争议（包括关于本约定书条款的存在、效力或终止，或无效之后果），双方选择第</w:t>
      </w:r>
      <w:r>
        <w:rPr>
          <w:rFonts w:hint="eastAsia" w:ascii="Arial Narrow" w:hAnsi="Arial Narrow" w:eastAsia="仿宋_GB2312"/>
          <w:color w:val="auto"/>
          <w:sz w:val="28"/>
          <w:szCs w:val="28"/>
        </w:rPr>
        <w:softHyphen/>
      </w:r>
      <w:r>
        <w:rPr>
          <w:rFonts w:hint="eastAsia" w:ascii="Arial Narrow" w:hAnsi="Arial Narrow" w:eastAsia="仿宋_GB2312"/>
          <w:color w:val="auto"/>
          <w:sz w:val="28"/>
          <w:szCs w:val="28"/>
        </w:rPr>
        <w:t>__1___种方式予以解决：</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（1）向有管辖权的人民法院提起诉讼；</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（2）提交××仲裁委员会仲裁。</w:t>
      </w:r>
    </w:p>
    <w:p>
      <w:pPr>
        <w:autoSpaceDE w:val="0"/>
        <w:autoSpaceDN w:val="0"/>
        <w:spacing w:before="120" w:beforeLines="50" w:line="500" w:lineRule="exact"/>
        <w:ind w:firstLine="562" w:firstLineChars="200"/>
        <w:rPr>
          <w:rFonts w:ascii="Arial Narrow" w:hAnsi="Arial Narrow" w:eastAsia="仿宋_GB2312"/>
          <w:b/>
          <w:color w:val="auto"/>
          <w:kern w:val="0"/>
          <w:sz w:val="28"/>
          <w:szCs w:val="28"/>
        </w:rPr>
      </w:pPr>
      <w:r>
        <w:rPr>
          <w:rFonts w:hint="eastAsia" w:ascii="Arial Narrow" w:hAnsi="Arial Narrow" w:eastAsia="仿宋_GB2312"/>
          <w:b/>
          <w:color w:val="auto"/>
          <w:kern w:val="0"/>
          <w:sz w:val="28"/>
          <w:szCs w:val="28"/>
        </w:rPr>
        <w:t>十一、双方对其他有关事项的约定</w:t>
      </w:r>
    </w:p>
    <w:p>
      <w:pPr>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1、使用互联网电子邮件传递讯息</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甲、乙双方可能会通过电子邮件传递讯息，甲方已知晓电子通讯方式所附带的固有风险，其中包括（但不限于） 缺乏保障而导致被窃取或未经授权而获取这些传递讯息的风险；讯息误传的风险及感染计算机病毒或其它有害装置的风险。乙方虽然会于发出电子信息前采取合理程序检查常见病毒，但乙方对电子传递不会向甲方承担任何责任。</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在本约定书的有效期间，甲、乙双方可能需要互相以电子邮件传递方式传送机密信息给对方及双方指定的人士。电子邮件是一个快速和方便的沟通方式，但不是安全通信方式，因此保密性可能减弱。甲方同意于甲方、乙方双方之间，及与双方指定的人士之间使用电子邮件和其它电子方法传送和接收，包括机密信息。</w:t>
      </w:r>
    </w:p>
    <w:p>
      <w:pPr>
        <w:autoSpaceDE w:val="0"/>
        <w:autoSpaceDN w:val="0"/>
        <w:adjustRightInd w:val="0"/>
        <w:snapToGrid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2、其他</w:t>
      </w:r>
    </w:p>
    <w:p>
      <w:pPr>
        <w:autoSpaceDE w:val="0"/>
        <w:autoSpaceDN w:val="0"/>
        <w:spacing w:before="120" w:beforeLines="50" w:line="500" w:lineRule="exact"/>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本约定书一式肆份，甲、乙双方各执贰份，具有同等法律效力。</w:t>
      </w:r>
    </w:p>
    <w:p>
      <w:pPr>
        <w:autoSpaceDE w:val="0"/>
        <w:autoSpaceDN w:val="0"/>
        <w:spacing w:before="120" w:beforeLines="50" w:line="300" w:lineRule="auto"/>
        <w:rPr>
          <w:rFonts w:ascii="Arial Narrow" w:hAnsi="Arial Narrow" w:eastAsia="仿宋_GB2312"/>
          <w:color w:val="auto"/>
          <w:kern w:val="0"/>
          <w:sz w:val="24"/>
        </w:rPr>
      </w:pPr>
    </w:p>
    <w:p>
      <w:pPr>
        <w:autoSpaceDE w:val="0"/>
        <w:autoSpaceDN w:val="0"/>
        <w:spacing w:before="120" w:beforeLines="50" w:line="300" w:lineRule="auto"/>
        <w:ind w:firstLine="560" w:firstLineChars="200"/>
        <w:rPr>
          <w:rFonts w:ascii="Arial Narrow" w:hAnsi="Arial Narrow" w:eastAsia="仿宋_GB2312"/>
          <w:color w:val="auto"/>
          <w:sz w:val="28"/>
          <w:szCs w:val="28"/>
        </w:rPr>
      </w:pPr>
    </w:p>
    <w:p>
      <w:pPr>
        <w:autoSpaceDE w:val="0"/>
        <w:autoSpaceDN w:val="0"/>
        <w:spacing w:before="120" w:beforeLines="50" w:line="300" w:lineRule="auto"/>
        <w:ind w:firstLine="560" w:firstLineChars="200"/>
        <w:rPr>
          <w:rFonts w:ascii="Arial Narrow" w:hAnsi="Arial Narrow" w:eastAsia="仿宋_GB2312"/>
          <w:color w:val="auto"/>
          <w:sz w:val="28"/>
          <w:szCs w:val="28"/>
        </w:rPr>
      </w:pPr>
    </w:p>
    <w:p>
      <w:pPr>
        <w:autoSpaceDE w:val="0"/>
        <w:autoSpaceDN w:val="0"/>
        <w:spacing w:before="120" w:beforeLines="50" w:line="300" w:lineRule="auto"/>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甲方：（盖章）</w:t>
      </w:r>
    </w:p>
    <w:p>
      <w:pPr>
        <w:autoSpaceDE w:val="0"/>
        <w:autoSpaceDN w:val="0"/>
        <w:adjustRightInd w:val="0"/>
        <w:snapToGrid w:val="0"/>
        <w:spacing w:before="120" w:beforeLines="50" w:line="300" w:lineRule="auto"/>
        <w:ind w:firstLine="560" w:firstLineChars="200"/>
        <w:rPr>
          <w:rFonts w:ascii="Arial Narrow" w:hAnsi="Arial Narrow" w:eastAsia="仿宋_GB2312"/>
          <w:color w:val="auto"/>
          <w:sz w:val="28"/>
          <w:szCs w:val="28"/>
        </w:rPr>
      </w:pPr>
    </w:p>
    <w:p>
      <w:pPr>
        <w:autoSpaceDE w:val="0"/>
        <w:autoSpaceDN w:val="0"/>
        <w:adjustRightInd w:val="0"/>
        <w:snapToGrid w:val="0"/>
        <w:spacing w:before="120" w:beforeLines="50" w:line="300" w:lineRule="auto"/>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法定代表人或授权代表： （签名或盖章）</w:t>
      </w:r>
    </w:p>
    <w:p>
      <w:pPr>
        <w:autoSpaceDE w:val="0"/>
        <w:autoSpaceDN w:val="0"/>
        <w:adjustRightInd w:val="0"/>
        <w:snapToGrid w:val="0"/>
        <w:spacing w:before="120" w:beforeLines="50" w:line="300" w:lineRule="auto"/>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二Ｏ     年    月   日</w:t>
      </w:r>
    </w:p>
    <w:p>
      <w:pPr>
        <w:autoSpaceDE w:val="0"/>
        <w:autoSpaceDN w:val="0"/>
        <w:adjustRightInd w:val="0"/>
        <w:snapToGrid w:val="0"/>
        <w:spacing w:before="120" w:beforeLines="50" w:line="300" w:lineRule="auto"/>
        <w:ind w:firstLine="560" w:firstLineChars="200"/>
        <w:rPr>
          <w:rFonts w:ascii="Arial Narrow" w:hAnsi="Arial Narrow" w:eastAsia="仿宋_GB2312"/>
          <w:color w:val="auto"/>
          <w:sz w:val="28"/>
          <w:szCs w:val="28"/>
        </w:rPr>
      </w:pPr>
    </w:p>
    <w:p>
      <w:pPr>
        <w:autoSpaceDE w:val="0"/>
        <w:autoSpaceDN w:val="0"/>
        <w:adjustRightInd w:val="0"/>
        <w:snapToGrid w:val="0"/>
        <w:spacing w:before="120" w:beforeLines="50" w:line="300" w:lineRule="auto"/>
        <w:rPr>
          <w:rFonts w:ascii="Arial Narrow" w:hAnsi="Arial Narrow" w:eastAsia="仿宋_GB2312"/>
          <w:color w:val="auto"/>
          <w:sz w:val="28"/>
          <w:szCs w:val="28"/>
        </w:rPr>
      </w:pPr>
    </w:p>
    <w:p>
      <w:pPr>
        <w:autoSpaceDE w:val="0"/>
        <w:autoSpaceDN w:val="0"/>
        <w:spacing w:before="120" w:beforeLines="50" w:line="300" w:lineRule="auto"/>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乙方：（盖章）</w:t>
      </w:r>
    </w:p>
    <w:p>
      <w:pPr>
        <w:autoSpaceDE w:val="0"/>
        <w:autoSpaceDN w:val="0"/>
        <w:spacing w:before="120" w:beforeLines="50" w:line="300" w:lineRule="auto"/>
        <w:ind w:firstLine="560" w:firstLineChars="200"/>
        <w:rPr>
          <w:rFonts w:ascii="Arial Narrow" w:hAnsi="Arial Narrow" w:eastAsia="仿宋_GB2312"/>
          <w:color w:val="auto"/>
          <w:sz w:val="28"/>
          <w:szCs w:val="28"/>
        </w:rPr>
      </w:pPr>
    </w:p>
    <w:p>
      <w:pPr>
        <w:autoSpaceDE w:val="0"/>
        <w:autoSpaceDN w:val="0"/>
        <w:adjustRightInd w:val="0"/>
        <w:snapToGrid w:val="0"/>
        <w:spacing w:before="120" w:beforeLines="50" w:line="300" w:lineRule="auto"/>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法定代表人或授权代表：（签名或盖章）</w:t>
      </w:r>
    </w:p>
    <w:p>
      <w:pPr>
        <w:autoSpaceDE w:val="0"/>
        <w:autoSpaceDN w:val="0"/>
        <w:spacing w:before="120" w:beforeLines="50" w:line="300" w:lineRule="auto"/>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户    名：</w:t>
      </w:r>
    </w:p>
    <w:p>
      <w:pPr>
        <w:autoSpaceDE w:val="0"/>
        <w:autoSpaceDN w:val="0"/>
        <w:spacing w:before="120" w:beforeLines="50" w:line="300" w:lineRule="auto"/>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 xml:space="preserve">开 户 行:  </w:t>
      </w:r>
    </w:p>
    <w:p>
      <w:pPr>
        <w:autoSpaceDE w:val="0"/>
        <w:autoSpaceDN w:val="0"/>
        <w:spacing w:before="120" w:beforeLines="50" w:line="300" w:lineRule="auto"/>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 xml:space="preserve">账    号:  </w:t>
      </w:r>
    </w:p>
    <w:p>
      <w:pPr>
        <w:autoSpaceDE w:val="0"/>
        <w:autoSpaceDN w:val="0"/>
        <w:adjustRightInd w:val="0"/>
        <w:snapToGrid w:val="0"/>
        <w:spacing w:before="120" w:beforeLines="50" w:line="300" w:lineRule="auto"/>
        <w:ind w:firstLine="560" w:firstLineChars="200"/>
        <w:rPr>
          <w:rFonts w:ascii="Arial Narrow" w:hAnsi="Arial Narrow" w:eastAsia="仿宋_GB2312"/>
          <w:color w:val="auto"/>
          <w:sz w:val="28"/>
          <w:szCs w:val="28"/>
        </w:rPr>
      </w:pPr>
      <w:r>
        <w:rPr>
          <w:rFonts w:hint="eastAsia" w:ascii="Arial Narrow" w:hAnsi="Arial Narrow" w:eastAsia="仿宋_GB2312"/>
          <w:color w:val="auto"/>
          <w:sz w:val="28"/>
          <w:szCs w:val="28"/>
        </w:rPr>
        <w:t>二Ｏ     年    月   日</w:t>
      </w:r>
    </w:p>
    <w:p>
      <w:pPr>
        <w:autoSpaceDE w:val="0"/>
        <w:autoSpaceDN w:val="0"/>
        <w:spacing w:before="120" w:beforeLines="50" w:line="300" w:lineRule="auto"/>
        <w:ind w:firstLine="560" w:firstLineChars="200"/>
        <w:jc w:val="left"/>
        <w:rPr>
          <w:rFonts w:ascii="Arial Narrow" w:hAnsi="Arial Narrow" w:eastAsia="仿宋_GB2312"/>
          <w:color w:val="auto"/>
          <w:sz w:val="28"/>
          <w:szCs w:val="28"/>
        </w:rPr>
      </w:pPr>
    </w:p>
    <w:sectPr>
      <w:footerReference r:id="rId6" w:type="default"/>
      <w:pgSz w:w="11906" w:h="16838"/>
      <w:pgMar w:top="1247" w:right="1247" w:bottom="1247" w:left="1701"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983Ms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4/fNzLAQAAlg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RS38s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30Ut/LAQAAlg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p>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QLbEMoBAACW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YY1MYmw2W2nYDxOzvW/PSKzHDWDU&#10;4cJTYj44FDgvy2zE2dhPRq4O4e0xYQelsYw6Qk3FcFyF2rRaeR/+9kvW4++0/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QLbEMoBAACWAwAADgAAAAAAAAABACAAAAAeAQAAZHJzL2Uyb0Rv&#10;Yy54bWxQSwUGAAAAAAYABgBZAQAAWgUAAAAA&#10;">
              <v:fill on="f" focussize="0,0"/>
              <v:stroke on="f"/>
              <v:imagedata o:title=""/>
              <o:lock v:ext="edit" aspectratio="f"/>
              <v:textbox inset="0mm,0mm,0mm,0mm" style="mso-fit-shape-to-text:t;">
                <w:txbxContent>
                  <w:p>
                    <w:pPr>
                      <w:pStyle w:val="6"/>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Arial" w:hAnsi="Arial" w:cs="Arial"/>
      </w:rPr>
    </w:pPr>
    <w:r>
      <w:rPr>
        <w:rFonts w:ascii="Arial" w:hAnsi="Arial" w:cs="Arial"/>
        <w:lang w:val="zh-CN"/>
      </w:rPr>
      <w:t xml:space="preserve"> </w:t>
    </w:r>
    <w:r>
      <w:rPr>
        <w:rFonts w:ascii="Arial" w:hAnsi="Arial" w:cs="Arial"/>
        <w:bCs/>
        <w:sz w:val="24"/>
        <w:szCs w:val="24"/>
      </w:rPr>
      <w:fldChar w:fldCharType="begin"/>
    </w:r>
    <w:r>
      <w:rPr>
        <w:rFonts w:ascii="Arial" w:hAnsi="Arial" w:cs="Arial"/>
        <w:bCs/>
      </w:rPr>
      <w:instrText xml:space="preserve">PAGE</w:instrText>
    </w:r>
    <w:r>
      <w:rPr>
        <w:rFonts w:ascii="Arial" w:hAnsi="Arial" w:cs="Arial"/>
        <w:bCs/>
        <w:sz w:val="24"/>
        <w:szCs w:val="24"/>
      </w:rPr>
      <w:fldChar w:fldCharType="separate"/>
    </w:r>
    <w:r>
      <w:rPr>
        <w:rFonts w:ascii="Arial" w:hAnsi="Arial" w:cs="Arial"/>
        <w:bCs/>
      </w:rPr>
      <w:t>12</w:t>
    </w:r>
    <w:r>
      <w:rPr>
        <w:rFonts w:ascii="Arial" w:hAnsi="Arial" w:cs="Arial"/>
        <w:bCs/>
        <w:sz w:val="24"/>
        <w:szCs w:val="24"/>
      </w:rPr>
      <w:fldChar w:fldCharType="end"/>
    </w:r>
    <w:r>
      <w:rPr>
        <w:rFonts w:ascii="Arial" w:hAnsi="Arial" w:cs="Arial"/>
        <w:lang w:val="zh-CN"/>
      </w:rPr>
      <w:t xml:space="preserve"> / </w:t>
    </w:r>
    <w:r>
      <w:rPr>
        <w:rFonts w:ascii="Arial" w:hAnsi="Arial" w:cs="Arial"/>
        <w:bCs/>
        <w:sz w:val="24"/>
        <w:szCs w:val="24"/>
      </w:rPr>
      <w:fldChar w:fldCharType="begin"/>
    </w:r>
    <w:r>
      <w:rPr>
        <w:rFonts w:ascii="Arial" w:hAnsi="Arial" w:cs="Arial"/>
        <w:bCs/>
      </w:rPr>
      <w:instrText xml:space="preserve">NUMPAGES</w:instrText>
    </w:r>
    <w:r>
      <w:rPr>
        <w:rFonts w:ascii="Arial" w:hAnsi="Arial" w:cs="Arial"/>
        <w:bCs/>
        <w:sz w:val="24"/>
        <w:szCs w:val="24"/>
      </w:rPr>
      <w:fldChar w:fldCharType="separate"/>
    </w:r>
    <w:r>
      <w:rPr>
        <w:rFonts w:ascii="Arial" w:hAnsi="Arial" w:cs="Arial"/>
        <w:bCs/>
      </w:rPr>
      <w:t>12</w:t>
    </w:r>
    <w:r>
      <w:rPr>
        <w:rFonts w:ascii="Arial" w:hAnsi="Arial" w:cs="Arial"/>
        <w:bCs/>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abstractNum w:abstractNumId="1">
    <w:nsid w:val="67F1BAFD"/>
    <w:multiLevelType w:val="singleLevel"/>
    <w:tmpl w:val="67F1BAF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83D33"/>
    <w:rsid w:val="0003782F"/>
    <w:rsid w:val="00174F75"/>
    <w:rsid w:val="00231269"/>
    <w:rsid w:val="002A534C"/>
    <w:rsid w:val="003B3CD8"/>
    <w:rsid w:val="00604EAD"/>
    <w:rsid w:val="0074682B"/>
    <w:rsid w:val="0080334E"/>
    <w:rsid w:val="00824332"/>
    <w:rsid w:val="009B7087"/>
    <w:rsid w:val="00C4564B"/>
    <w:rsid w:val="00C646AF"/>
    <w:rsid w:val="00D343FC"/>
    <w:rsid w:val="00D6325A"/>
    <w:rsid w:val="00E556DD"/>
    <w:rsid w:val="00E72AA5"/>
    <w:rsid w:val="00EE6015"/>
    <w:rsid w:val="00F52661"/>
    <w:rsid w:val="00FE1F84"/>
    <w:rsid w:val="03006C48"/>
    <w:rsid w:val="04287857"/>
    <w:rsid w:val="04913ACA"/>
    <w:rsid w:val="05783C18"/>
    <w:rsid w:val="062C1DE3"/>
    <w:rsid w:val="07CD646F"/>
    <w:rsid w:val="0A531254"/>
    <w:rsid w:val="0BAC44BB"/>
    <w:rsid w:val="0EB14D54"/>
    <w:rsid w:val="0F5A4624"/>
    <w:rsid w:val="10317DC5"/>
    <w:rsid w:val="1117232B"/>
    <w:rsid w:val="11817905"/>
    <w:rsid w:val="119F0928"/>
    <w:rsid w:val="13266824"/>
    <w:rsid w:val="16B272DF"/>
    <w:rsid w:val="16BF2A1C"/>
    <w:rsid w:val="18102D9D"/>
    <w:rsid w:val="185658A7"/>
    <w:rsid w:val="18B05292"/>
    <w:rsid w:val="1D254070"/>
    <w:rsid w:val="1DE55C6E"/>
    <w:rsid w:val="1E821269"/>
    <w:rsid w:val="20BF049A"/>
    <w:rsid w:val="21047210"/>
    <w:rsid w:val="249F3152"/>
    <w:rsid w:val="261F3125"/>
    <w:rsid w:val="2A3B73D4"/>
    <w:rsid w:val="2A4F3BA9"/>
    <w:rsid w:val="2AE204E7"/>
    <w:rsid w:val="2B89450B"/>
    <w:rsid w:val="31B62D11"/>
    <w:rsid w:val="326359C0"/>
    <w:rsid w:val="34A91D02"/>
    <w:rsid w:val="35042F42"/>
    <w:rsid w:val="37501F01"/>
    <w:rsid w:val="37B96620"/>
    <w:rsid w:val="38D63757"/>
    <w:rsid w:val="39D40133"/>
    <w:rsid w:val="3A1D671D"/>
    <w:rsid w:val="3AA73942"/>
    <w:rsid w:val="3C387320"/>
    <w:rsid w:val="3D5C3F59"/>
    <w:rsid w:val="3FA70493"/>
    <w:rsid w:val="41024036"/>
    <w:rsid w:val="42B814AA"/>
    <w:rsid w:val="435A3E32"/>
    <w:rsid w:val="43FB5B86"/>
    <w:rsid w:val="455332C1"/>
    <w:rsid w:val="46ED0B48"/>
    <w:rsid w:val="47C106F6"/>
    <w:rsid w:val="484E7E3D"/>
    <w:rsid w:val="49C443CE"/>
    <w:rsid w:val="4B637477"/>
    <w:rsid w:val="4B9765CB"/>
    <w:rsid w:val="4C242B77"/>
    <w:rsid w:val="503A6B3E"/>
    <w:rsid w:val="52BE4C39"/>
    <w:rsid w:val="53183CB8"/>
    <w:rsid w:val="563A719E"/>
    <w:rsid w:val="56554DBB"/>
    <w:rsid w:val="56E83D33"/>
    <w:rsid w:val="57C130C6"/>
    <w:rsid w:val="588D321A"/>
    <w:rsid w:val="58AC5B51"/>
    <w:rsid w:val="594C693C"/>
    <w:rsid w:val="599A7C35"/>
    <w:rsid w:val="59A8307F"/>
    <w:rsid w:val="5E3B0F20"/>
    <w:rsid w:val="603F36C5"/>
    <w:rsid w:val="604D391F"/>
    <w:rsid w:val="62ED371C"/>
    <w:rsid w:val="653C74CC"/>
    <w:rsid w:val="65A013D8"/>
    <w:rsid w:val="67434015"/>
    <w:rsid w:val="699738D2"/>
    <w:rsid w:val="69BB3C2A"/>
    <w:rsid w:val="6D535020"/>
    <w:rsid w:val="6D805A20"/>
    <w:rsid w:val="75104DD7"/>
    <w:rsid w:val="75702007"/>
    <w:rsid w:val="772E3690"/>
    <w:rsid w:val="7809535A"/>
    <w:rsid w:val="78D17BEB"/>
    <w:rsid w:val="79A949E5"/>
    <w:rsid w:val="7A5A1EFF"/>
    <w:rsid w:val="7DB6563F"/>
    <w:rsid w:val="7FDE30F0"/>
    <w:rsid w:val="7FEC6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pacing w:line="240" w:lineRule="atLeast"/>
      <w:ind w:firstLine="420" w:firstLineChars="200"/>
    </w:pPr>
    <w:rPr>
      <w:sz w:val="32"/>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szCs w:val="24"/>
    </w:rPr>
  </w:style>
  <w:style w:type="paragraph" w:styleId="5">
    <w:name w:val="Balloon Text"/>
    <w:basedOn w:val="1"/>
    <w:link w:val="16"/>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unhideWhenUsed/>
    <w:qFormat/>
    <w:uiPriority w:val="99"/>
  </w:style>
  <w:style w:type="character" w:styleId="14">
    <w:name w:val="annotation reference"/>
    <w:qFormat/>
    <w:uiPriority w:val="0"/>
    <w:rPr>
      <w:sz w:val="21"/>
      <w:szCs w:val="21"/>
    </w:rPr>
  </w:style>
  <w:style w:type="paragraph" w:customStyle="1" w:styleId="15">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16">
    <w:name w:val="批注框文本 字符"/>
    <w:basedOn w:val="11"/>
    <w:link w:val="5"/>
    <w:qFormat/>
    <w:uiPriority w:val="0"/>
    <w:rPr>
      <w:rFonts w:ascii="Calibri" w:hAnsi="Calibri"/>
      <w:kern w:val="2"/>
      <w:sz w:val="18"/>
      <w:szCs w:val="18"/>
    </w:rPr>
  </w:style>
  <w:style w:type="paragraph" w:customStyle="1" w:styleId="17">
    <w:name w:val="Body Single"/>
    <w:qFormat/>
    <w:uiPriority w:val="0"/>
    <w:pPr>
      <w:widowControl w:val="0"/>
      <w:tabs>
        <w:tab w:val="left" w:pos="705"/>
        <w:tab w:val="left" w:pos="1440"/>
        <w:tab w:val="left" w:pos="2304"/>
        <w:tab w:val="right" w:pos="10425"/>
      </w:tabs>
      <w:jc w:val="both"/>
    </w:pPr>
    <w:rPr>
      <w:rFonts w:ascii="Times New Roman" w:hAnsi="Times New Roman" w:eastAsia="Times New Roman" w:cs="Times New Roman"/>
      <w:color w:val="000000"/>
      <w:sz w:val="24"/>
      <w:lang w:val="en-US" w:eastAsia="zh-CN" w:bidi="ar-SA"/>
    </w:rPr>
  </w:style>
  <w:style w:type="paragraph" w:styleId="18">
    <w:name w:val="List Paragraph"/>
    <w:basedOn w:val="1"/>
    <w:qFormat/>
    <w:uiPriority w:val="34"/>
    <w:pPr>
      <w:widowControl/>
      <w:ind w:left="720"/>
      <w:contextualSpacing/>
      <w:jc w:val="left"/>
    </w:pPr>
    <w:rPr>
      <w:rFonts w:eastAsia="PMingLiU"/>
      <w:kern w:val="0"/>
      <w:sz w:val="24"/>
      <w:lang w:eastAsia="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Pages>
  <Words>901</Words>
  <Characters>5137</Characters>
  <Lines>42</Lines>
  <Paragraphs>12</Paragraphs>
  <TotalTime>3</TotalTime>
  <ScaleCrop>false</ScaleCrop>
  <LinksUpToDate>false</LinksUpToDate>
  <CharactersWithSpaces>6026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2018-09-21T01:44:00Z</dcterms:created>
  <dc:creator>LENOVO</dc:creator>
  <cp:lastModifiedBy>吴雪凝</cp:lastModifiedBy>
  <cp:lastPrinted>2021-06-04T09:12:00Z</cp:lastPrinted>
  <dcterms:modified xsi:type="dcterms:W3CDTF">2021-10-19T08:07:54Z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8D208363D957452783BB718D46E882F8</vt:lpwstr>
  </property>
</Properties>
</file>