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30" w:lineRule="exact"/>
        <w:ind w:right="0" w:rightChars="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附件</w:t>
      </w:r>
    </w:p>
    <w:p>
      <w:pPr>
        <w:keepNext w:val="0"/>
        <w:keepLines w:val="0"/>
        <w:pageBreakBefore w:val="0"/>
        <w:widowControl w:val="0"/>
        <w:kinsoku/>
        <w:wordWrap/>
        <w:overflowPunct/>
        <w:topLinePunct w:val="0"/>
        <w:autoSpaceDE/>
        <w:autoSpaceDN/>
        <w:bidi w:val="0"/>
        <w:adjustRightInd/>
        <w:snapToGrid/>
        <w:spacing w:before="162" w:beforeLines="50" w:line="520" w:lineRule="exact"/>
        <w:jc w:val="center"/>
        <w:textAlignment w:val="auto"/>
        <w:rPr>
          <w:rFonts w:hint="eastAsia" w:ascii="方正小标宋_GBK" w:eastAsia="方正小标宋_GBK"/>
          <w:color w:val="auto"/>
          <w:sz w:val="44"/>
          <w:szCs w:val="44"/>
          <w:lang w:val="en-US" w:eastAsia="zh-CN"/>
        </w:rPr>
      </w:pPr>
      <w:r>
        <w:rPr>
          <w:rFonts w:hint="eastAsia" w:ascii="方正小标宋_GBK" w:eastAsia="方正小标宋_GBK"/>
          <w:color w:val="auto"/>
          <w:sz w:val="44"/>
          <w:szCs w:val="44"/>
          <w:lang w:val="en-US" w:eastAsia="zh-CN"/>
        </w:rPr>
        <w:t>广西中马钦州产业园区开发有限公司关于</w:t>
      </w:r>
    </w:p>
    <w:p>
      <w:pPr>
        <w:keepNext w:val="0"/>
        <w:keepLines w:val="0"/>
        <w:pageBreakBefore w:val="0"/>
        <w:widowControl w:val="0"/>
        <w:kinsoku/>
        <w:wordWrap/>
        <w:overflowPunct/>
        <w:topLinePunct w:val="0"/>
        <w:autoSpaceDE/>
        <w:autoSpaceDN/>
        <w:bidi w:val="0"/>
        <w:adjustRightInd/>
        <w:snapToGrid/>
        <w:spacing w:before="162" w:beforeLines="50" w:line="520" w:lineRule="exact"/>
        <w:jc w:val="center"/>
        <w:textAlignment w:val="auto"/>
        <w:rPr>
          <w:rFonts w:hint="eastAsia" w:ascii="方正小标宋_GBK" w:eastAsia="方正小标宋_GBK"/>
          <w:color w:val="auto"/>
          <w:sz w:val="44"/>
          <w:szCs w:val="44"/>
          <w:lang w:val="en-US" w:eastAsia="zh-CN"/>
        </w:rPr>
      </w:pPr>
      <w:r>
        <w:rPr>
          <w:rFonts w:hint="eastAsia" w:ascii="方正小标宋_GBK" w:eastAsia="方正小标宋_GBK"/>
          <w:color w:val="auto"/>
          <w:sz w:val="44"/>
          <w:szCs w:val="44"/>
          <w:lang w:val="en-US" w:eastAsia="zh-CN"/>
        </w:rPr>
        <w:t>2023年度财务报表及内部控制审计项目聘请服务单位公开比选文件</w:t>
      </w:r>
    </w:p>
    <w:p>
      <w:pPr>
        <w:keepNext w:val="0"/>
        <w:keepLines w:val="0"/>
        <w:pageBreakBefore w:val="0"/>
        <w:widowControl w:val="0"/>
        <w:kinsoku/>
        <w:wordWrap/>
        <w:overflowPunct/>
        <w:topLinePunct w:val="0"/>
        <w:autoSpaceDE/>
        <w:autoSpaceDN/>
        <w:bidi w:val="0"/>
        <w:adjustRightInd/>
        <w:snapToGrid/>
        <w:spacing w:before="322" w:beforeLines="100" w:line="520" w:lineRule="exact"/>
        <w:ind w:left="0" w:leftChars="0" w:right="0" w:rightChars="0" w:firstLine="600" w:firstLineChars="200"/>
        <w:jc w:val="both"/>
        <w:textAlignment w:val="auto"/>
        <w:outlineLvl w:val="9"/>
        <w:rPr>
          <w:rFonts w:ascii="Times New Roman" w:hAnsi="Times New Roman" w:eastAsia="仿宋"/>
          <w:color w:val="auto"/>
          <w:sz w:val="30"/>
          <w:szCs w:val="30"/>
        </w:rPr>
      </w:pPr>
      <w:r>
        <w:rPr>
          <w:rFonts w:ascii="Times New Roman" w:hAnsi="仿宋" w:eastAsia="仿宋"/>
          <w:color w:val="auto"/>
          <w:sz w:val="30"/>
          <w:szCs w:val="30"/>
        </w:rPr>
        <w:t>我公司</w:t>
      </w:r>
      <w:r>
        <w:rPr>
          <w:rFonts w:hint="eastAsia" w:ascii="Times New Roman" w:hAnsi="仿宋" w:eastAsia="仿宋"/>
          <w:color w:val="auto"/>
          <w:sz w:val="30"/>
          <w:szCs w:val="30"/>
          <w:lang w:eastAsia="zh-CN"/>
        </w:rPr>
        <w:t>根据</w:t>
      </w:r>
      <w:r>
        <w:rPr>
          <w:rFonts w:hint="eastAsia" w:ascii="Times New Roman" w:hAnsi="仿宋" w:eastAsia="仿宋"/>
          <w:color w:val="auto"/>
          <w:sz w:val="30"/>
          <w:szCs w:val="30"/>
          <w:lang w:val="en-US" w:eastAsia="zh-CN"/>
        </w:rPr>
        <w:t>2023年审计工作计划，</w:t>
      </w:r>
      <w:r>
        <w:rPr>
          <w:rFonts w:ascii="Times New Roman" w:hAnsi="仿宋" w:eastAsia="仿宋"/>
          <w:color w:val="auto"/>
          <w:sz w:val="30"/>
          <w:szCs w:val="30"/>
        </w:rPr>
        <w:t>拟</w:t>
      </w:r>
      <w:r>
        <w:rPr>
          <w:rFonts w:hint="eastAsia" w:ascii="Times New Roman" w:hAnsi="仿宋" w:eastAsia="仿宋"/>
          <w:color w:val="auto"/>
          <w:sz w:val="30"/>
          <w:szCs w:val="30"/>
          <w:lang w:eastAsia="zh-CN"/>
        </w:rPr>
        <w:t>对其中</w:t>
      </w:r>
      <w:r>
        <w:rPr>
          <w:rFonts w:hint="eastAsia" w:ascii="Times New Roman" w:hAnsi="仿宋" w:eastAsia="仿宋"/>
          <w:color w:val="auto"/>
          <w:sz w:val="30"/>
          <w:szCs w:val="30"/>
          <w:lang w:val="en-US" w:eastAsia="zh-CN"/>
        </w:rPr>
        <w:t>2023年度财务报表及内部控制审计项目的审计服务</w:t>
      </w:r>
      <w:r>
        <w:rPr>
          <w:rFonts w:ascii="Times New Roman" w:hAnsi="仿宋" w:eastAsia="仿宋"/>
          <w:color w:val="auto"/>
          <w:sz w:val="30"/>
          <w:szCs w:val="30"/>
        </w:rPr>
        <w:t>通过公开比选</w:t>
      </w:r>
      <w:r>
        <w:rPr>
          <w:rFonts w:hint="eastAsia" w:ascii="Times New Roman" w:hAnsi="仿宋" w:eastAsia="仿宋"/>
          <w:color w:val="auto"/>
          <w:sz w:val="30"/>
          <w:szCs w:val="30"/>
          <w:lang w:eastAsia="zh-CN"/>
        </w:rPr>
        <w:t>选择服务</w:t>
      </w:r>
      <w:r>
        <w:rPr>
          <w:rFonts w:hint="eastAsia" w:ascii="Times New Roman" w:hAnsi="仿宋" w:eastAsia="仿宋"/>
          <w:color w:val="auto"/>
          <w:sz w:val="30"/>
          <w:szCs w:val="30"/>
          <w:lang w:val="en-US" w:eastAsia="zh-CN"/>
        </w:rPr>
        <w:t>单位</w:t>
      </w:r>
      <w:r>
        <w:rPr>
          <w:rFonts w:ascii="Times New Roman" w:hAnsi="仿宋" w:eastAsia="仿宋"/>
          <w:color w:val="auto"/>
          <w:sz w:val="30"/>
          <w:szCs w:val="30"/>
        </w:rPr>
        <w:t>，具体事项如下：</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黑体" w:hAnsi="黑体" w:eastAsia="黑体"/>
          <w:color w:val="auto"/>
          <w:sz w:val="30"/>
          <w:szCs w:val="30"/>
          <w:lang w:eastAsia="zh-CN"/>
        </w:rPr>
      </w:pPr>
      <w:r>
        <w:rPr>
          <w:rFonts w:ascii="黑体" w:hAnsi="黑体" w:eastAsia="黑体"/>
          <w:color w:val="auto"/>
          <w:sz w:val="30"/>
          <w:szCs w:val="30"/>
        </w:rPr>
        <w:t>一、</w:t>
      </w:r>
      <w:r>
        <w:rPr>
          <w:rFonts w:hint="eastAsia" w:ascii="黑体" w:hAnsi="黑体" w:eastAsia="黑体"/>
          <w:color w:val="auto"/>
          <w:sz w:val="30"/>
          <w:szCs w:val="30"/>
          <w:lang w:eastAsia="zh-CN"/>
        </w:rPr>
        <w:t>服务范围及内容</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00" w:firstLineChars="200"/>
        <w:jc w:val="both"/>
        <w:textAlignment w:val="auto"/>
        <w:outlineLvl w:val="9"/>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（一）服务范围：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00" w:firstLineChars="200"/>
        <w:jc w:val="both"/>
        <w:textAlignment w:val="auto"/>
        <w:outlineLvl w:val="9"/>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公司及所属子公司共11家单位（各单位名单见下表）</w:t>
      </w:r>
    </w:p>
    <w:tbl>
      <w:tblPr>
        <w:tblStyle w:val="6"/>
        <w:tblW w:w="9110" w:type="dxa"/>
        <w:tblInd w:w="0" w:type="dxa"/>
        <w:shd w:val="clear" w:color="auto" w:fill="auto"/>
        <w:tblLayout w:type="fixed"/>
        <w:tblCellMar>
          <w:top w:w="0" w:type="dxa"/>
          <w:left w:w="108" w:type="dxa"/>
          <w:bottom w:w="0" w:type="dxa"/>
          <w:right w:w="108" w:type="dxa"/>
        </w:tblCellMar>
      </w:tblPr>
      <w:tblGrid>
        <w:gridCol w:w="557"/>
        <w:gridCol w:w="3153"/>
        <w:gridCol w:w="1965"/>
        <w:gridCol w:w="1710"/>
        <w:gridCol w:w="1725"/>
      </w:tblGrid>
      <w:tr>
        <w:tblPrEx>
          <w:shd w:val="clear" w:color="auto" w:fill="auto"/>
          <w:tblCellMar>
            <w:top w:w="0" w:type="dxa"/>
            <w:left w:w="108" w:type="dxa"/>
            <w:bottom w:w="0" w:type="dxa"/>
            <w:right w:w="108" w:type="dxa"/>
          </w:tblCellMar>
        </w:tblPrEx>
        <w:trPr>
          <w:trHeight w:val="425" w:hRule="atLeast"/>
        </w:trPr>
        <w:tc>
          <w:tcPr>
            <w:tcW w:w="557"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Fonts w:hint="default" w:ascii="Times New Roman" w:hAnsi="Times New Roman" w:eastAsia="宋体" w:cs="Times New Roman"/>
                <w:i w:val="0"/>
                <w:iCs w:val="0"/>
                <w:color w:val="auto"/>
                <w:sz w:val="21"/>
                <w:szCs w:val="21"/>
                <w:u w:val="none"/>
              </w:rPr>
            </w:pPr>
            <w:r>
              <w:rPr>
                <w:rStyle w:val="9"/>
                <w:color w:val="auto"/>
                <w:sz w:val="21"/>
                <w:szCs w:val="21"/>
                <w:lang w:val="en-US" w:eastAsia="zh-CN" w:bidi="ar"/>
              </w:rPr>
              <w:t>序号</w:t>
            </w:r>
          </w:p>
        </w:tc>
        <w:tc>
          <w:tcPr>
            <w:tcW w:w="315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9"/>
                <w:color w:val="auto"/>
                <w:sz w:val="21"/>
                <w:szCs w:val="21"/>
                <w:lang w:val="en-US" w:eastAsia="zh-CN" w:bidi="ar"/>
              </w:rPr>
              <w:t>单位名称</w:t>
            </w:r>
          </w:p>
        </w:tc>
        <w:tc>
          <w:tcPr>
            <w:tcW w:w="196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eastAsia"/>
                <w:color w:val="auto"/>
                <w:sz w:val="21"/>
                <w:szCs w:val="21"/>
                <w:lang w:val="en-US" w:eastAsia="zh-CN" w:bidi="ar"/>
              </w:rPr>
            </w:pPr>
            <w:r>
              <w:rPr>
                <w:rStyle w:val="9"/>
                <w:rFonts w:hint="eastAsia"/>
                <w:color w:val="auto"/>
                <w:sz w:val="21"/>
                <w:szCs w:val="21"/>
                <w:lang w:val="en-US" w:eastAsia="zh-CN" w:bidi="ar"/>
              </w:rPr>
              <w:t>主要业务及</w:t>
            </w:r>
          </w:p>
          <w:p>
            <w:pPr>
              <w:keepNext w:val="0"/>
              <w:keepLines w:val="0"/>
              <w:widowControl/>
              <w:suppressLineNumbers w:val="0"/>
              <w:jc w:val="center"/>
              <w:textAlignment w:val="center"/>
              <w:rPr>
                <w:rStyle w:val="9"/>
                <w:rFonts w:hint="default"/>
                <w:color w:val="auto"/>
                <w:sz w:val="21"/>
                <w:szCs w:val="21"/>
                <w:lang w:val="en-US" w:eastAsia="zh-CN" w:bidi="ar"/>
              </w:rPr>
            </w:pPr>
            <w:r>
              <w:rPr>
                <w:rStyle w:val="9"/>
                <w:rFonts w:hint="eastAsia"/>
                <w:color w:val="auto"/>
                <w:sz w:val="21"/>
                <w:szCs w:val="21"/>
                <w:lang w:val="en-US" w:eastAsia="zh-CN" w:bidi="ar"/>
              </w:rPr>
              <w:t>收入来源</w:t>
            </w:r>
          </w:p>
        </w:tc>
        <w:tc>
          <w:tcPr>
            <w:tcW w:w="171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eastAsia"/>
                <w:color w:val="auto"/>
                <w:sz w:val="21"/>
                <w:szCs w:val="21"/>
                <w:lang w:val="en-US" w:eastAsia="zh-CN" w:bidi="ar"/>
              </w:rPr>
            </w:pPr>
            <w:r>
              <w:rPr>
                <w:rStyle w:val="9"/>
                <w:rFonts w:hint="eastAsia"/>
                <w:color w:val="auto"/>
                <w:sz w:val="21"/>
                <w:szCs w:val="21"/>
                <w:lang w:val="en-US" w:eastAsia="zh-CN" w:bidi="ar"/>
              </w:rPr>
              <w:t>资产总额（万元）</w:t>
            </w:r>
          </w:p>
        </w:tc>
        <w:tc>
          <w:tcPr>
            <w:tcW w:w="172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eastAsia"/>
                <w:color w:val="auto"/>
                <w:sz w:val="21"/>
                <w:szCs w:val="21"/>
                <w:lang w:val="en-US" w:eastAsia="zh-CN" w:bidi="ar"/>
              </w:rPr>
            </w:pPr>
            <w:r>
              <w:rPr>
                <w:rStyle w:val="9"/>
                <w:rFonts w:hint="eastAsia"/>
                <w:color w:val="auto"/>
                <w:sz w:val="21"/>
                <w:szCs w:val="21"/>
                <w:lang w:val="en-US" w:eastAsia="zh-CN" w:bidi="ar"/>
              </w:rPr>
              <w:t>营业收入（万元）</w:t>
            </w:r>
          </w:p>
        </w:tc>
      </w:tr>
      <w:tr>
        <w:tblPrEx>
          <w:shd w:val="clear" w:color="auto" w:fill="auto"/>
          <w:tblCellMar>
            <w:top w:w="0" w:type="dxa"/>
            <w:left w:w="108" w:type="dxa"/>
            <w:bottom w:w="0" w:type="dxa"/>
            <w:right w:w="108" w:type="dxa"/>
          </w:tblCellMar>
        </w:tblPrEx>
        <w:trPr>
          <w:trHeight w:val="524" w:hRule="atLeast"/>
        </w:trPr>
        <w:tc>
          <w:tcPr>
            <w:tcW w:w="557"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left="-105" w:leftChars="-50" w:right="-105" w:rightChars="-50"/>
              <w:jc w:val="center"/>
              <w:textAlignment w:val="center"/>
              <w:rPr>
                <w:rStyle w:val="9"/>
                <w:color w:val="auto"/>
                <w:sz w:val="21"/>
                <w:szCs w:val="21"/>
                <w:lang w:val="en-US" w:eastAsia="zh-CN" w:bidi="ar"/>
              </w:rPr>
            </w:pPr>
          </w:p>
        </w:tc>
        <w:tc>
          <w:tcPr>
            <w:tcW w:w="315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color w:val="auto"/>
                <w:sz w:val="21"/>
                <w:szCs w:val="21"/>
                <w:lang w:val="en-US" w:eastAsia="zh-CN" w:bidi="ar"/>
              </w:rPr>
            </w:pPr>
          </w:p>
        </w:tc>
        <w:tc>
          <w:tcPr>
            <w:tcW w:w="1965"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color w:val="auto"/>
                <w:sz w:val="21"/>
                <w:szCs w:val="21"/>
                <w:lang w:val="en-US" w:eastAsia="zh-CN" w:bidi="ar"/>
              </w:rPr>
            </w:pPr>
          </w:p>
        </w:tc>
        <w:tc>
          <w:tcPr>
            <w:tcW w:w="1710"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ind w:left="-71" w:leftChars="-34" w:right="-71" w:rightChars="-34"/>
              <w:jc w:val="center"/>
              <w:textAlignment w:val="center"/>
              <w:rPr>
                <w:rStyle w:val="9"/>
                <w:rFonts w:hint="default"/>
                <w:color w:val="auto"/>
                <w:sz w:val="21"/>
                <w:szCs w:val="21"/>
                <w:lang w:val="en-US" w:eastAsia="zh-CN" w:bidi="ar"/>
              </w:rPr>
            </w:pPr>
            <w:r>
              <w:rPr>
                <w:rStyle w:val="9"/>
                <w:rFonts w:hint="eastAsia"/>
                <w:color w:val="auto"/>
                <w:sz w:val="21"/>
                <w:szCs w:val="21"/>
                <w:lang w:val="en-US" w:eastAsia="zh-CN" w:bidi="ar"/>
              </w:rPr>
              <w:t>2023年末（预计）</w:t>
            </w:r>
          </w:p>
        </w:tc>
        <w:tc>
          <w:tcPr>
            <w:tcW w:w="1725" w:type="dxa"/>
            <w:tcBorders>
              <w:top w:val="single" w:color="auto" w:sz="4" w:space="0"/>
              <w:left w:val="single" w:color="auto"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val="0"/>
              <w:snapToGrid w:val="0"/>
              <w:ind w:left="-71" w:leftChars="-34" w:right="-71" w:rightChars="-34"/>
              <w:jc w:val="center"/>
              <w:textAlignment w:val="center"/>
              <w:rPr>
                <w:rFonts w:hint="default" w:ascii="宋体" w:hAnsi="宋体" w:eastAsia="宋体" w:cs="宋体"/>
                <w:color w:val="auto"/>
                <w:kern w:val="2"/>
                <w:sz w:val="21"/>
                <w:szCs w:val="21"/>
                <w:u w:val="none"/>
                <w:lang w:val="en-US" w:eastAsia="zh-CN" w:bidi="ar"/>
              </w:rPr>
            </w:pPr>
            <w:r>
              <w:rPr>
                <w:rStyle w:val="9"/>
                <w:rFonts w:hint="eastAsia"/>
                <w:color w:val="auto"/>
                <w:sz w:val="21"/>
                <w:szCs w:val="21"/>
                <w:lang w:val="en-US" w:eastAsia="zh-CN" w:bidi="ar"/>
              </w:rPr>
              <w:t>2023年（预计）</w:t>
            </w:r>
          </w:p>
        </w:tc>
      </w:tr>
      <w:tr>
        <w:tblPrEx>
          <w:shd w:val="clear" w:color="auto" w:fill="auto"/>
          <w:tblCellMar>
            <w:top w:w="0" w:type="dxa"/>
            <w:left w:w="108" w:type="dxa"/>
            <w:bottom w:w="0" w:type="dxa"/>
            <w:right w:w="108" w:type="dxa"/>
          </w:tblCellMar>
        </w:tblPrEx>
        <w:trPr>
          <w:trHeight w:val="669"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color w:val="auto"/>
                <w:sz w:val="21"/>
                <w:szCs w:val="21"/>
                <w:lang w:val="en-US" w:eastAsia="zh-CN" w:bidi="ar"/>
              </w:rPr>
            </w:pPr>
            <w:r>
              <w:rPr>
                <w:rStyle w:val="9"/>
                <w:color w:val="auto"/>
                <w:sz w:val="21"/>
                <w:szCs w:val="21"/>
                <w:lang w:val="en-US" w:eastAsia="zh-CN" w:bidi="ar"/>
              </w:rPr>
              <w:t>广西中马钦州产业园区开发</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9"/>
                <w:color w:val="auto"/>
                <w:sz w:val="21"/>
                <w:szCs w:val="21"/>
                <w:lang w:val="en-US" w:eastAsia="zh-CN" w:bidi="ar"/>
              </w:rPr>
              <w:t>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Style w:val="9"/>
                <w:rFonts w:hint="default"/>
                <w:color w:val="auto"/>
                <w:sz w:val="21"/>
                <w:szCs w:val="21"/>
                <w:lang w:val="en-US" w:eastAsia="zh-CN" w:bidi="ar"/>
              </w:rPr>
            </w:pPr>
            <w:r>
              <w:rPr>
                <w:rStyle w:val="9"/>
                <w:rFonts w:hint="eastAsia"/>
                <w:color w:val="auto"/>
                <w:sz w:val="21"/>
                <w:szCs w:val="21"/>
                <w:lang w:val="en-US" w:eastAsia="zh-CN" w:bidi="ar"/>
              </w:rPr>
              <w:t>市政项目建设及回购，房产出租</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235,987</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10,634</w:t>
            </w:r>
          </w:p>
        </w:tc>
      </w:tr>
      <w:tr>
        <w:tblPrEx>
          <w:shd w:val="clear" w:color="auto" w:fill="auto"/>
          <w:tblCellMar>
            <w:top w:w="0" w:type="dxa"/>
            <w:left w:w="108" w:type="dxa"/>
            <w:bottom w:w="0" w:type="dxa"/>
            <w:right w:w="108" w:type="dxa"/>
          </w:tblCellMar>
        </w:tblPrEx>
        <w:trPr>
          <w:trHeight w:val="442"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2</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9"/>
                <w:color w:val="auto"/>
                <w:sz w:val="21"/>
                <w:szCs w:val="21"/>
                <w:lang w:val="en-US" w:eastAsia="zh-CN" w:bidi="ar"/>
              </w:rPr>
              <w:t>广西孔雀湾投资开发有限公司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Style w:val="9"/>
                <w:rFonts w:hint="default"/>
                <w:color w:val="auto"/>
                <w:sz w:val="21"/>
                <w:szCs w:val="21"/>
                <w:lang w:val="en-US" w:eastAsia="zh-CN" w:bidi="ar"/>
              </w:rPr>
            </w:pPr>
            <w:r>
              <w:rPr>
                <w:rStyle w:val="9"/>
                <w:rFonts w:hint="eastAsia"/>
                <w:color w:val="auto"/>
                <w:sz w:val="21"/>
                <w:szCs w:val="21"/>
                <w:lang w:val="en-US" w:eastAsia="zh-CN" w:bidi="ar"/>
              </w:rPr>
              <w:t>房地产销售及出租</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69,449</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4,066</w:t>
            </w:r>
          </w:p>
        </w:tc>
      </w:tr>
      <w:tr>
        <w:tblPrEx>
          <w:shd w:val="clear" w:color="auto" w:fill="auto"/>
          <w:tblCellMar>
            <w:top w:w="0" w:type="dxa"/>
            <w:left w:w="108" w:type="dxa"/>
            <w:bottom w:w="0" w:type="dxa"/>
            <w:right w:w="108" w:type="dxa"/>
          </w:tblCellMar>
        </w:tblPrEx>
        <w:trPr>
          <w:trHeight w:val="442"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3</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9"/>
                <w:rFonts w:hint="eastAsia"/>
                <w:color w:val="auto"/>
                <w:sz w:val="21"/>
                <w:szCs w:val="21"/>
                <w:highlight w:val="none"/>
                <w:lang w:val="en-US" w:eastAsia="zh-CN" w:bidi="ar"/>
              </w:rPr>
              <w:t>广西钦州孔雀湾物业服务有限公司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Style w:val="9"/>
                <w:rFonts w:hint="default"/>
                <w:color w:val="auto"/>
                <w:sz w:val="21"/>
                <w:szCs w:val="21"/>
                <w:lang w:val="en-US" w:eastAsia="zh-CN" w:bidi="ar"/>
              </w:rPr>
            </w:pPr>
            <w:r>
              <w:rPr>
                <w:rStyle w:val="9"/>
                <w:rFonts w:hint="eastAsia"/>
                <w:color w:val="auto"/>
                <w:sz w:val="21"/>
                <w:szCs w:val="21"/>
                <w:lang w:val="en-US" w:eastAsia="zh-CN" w:bidi="ar"/>
              </w:rPr>
              <w:t>物业服务</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220</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443</w:t>
            </w:r>
          </w:p>
        </w:tc>
      </w:tr>
      <w:tr>
        <w:tblPrEx>
          <w:shd w:val="clear" w:color="auto" w:fill="auto"/>
          <w:tblCellMar>
            <w:top w:w="0" w:type="dxa"/>
            <w:left w:w="108" w:type="dxa"/>
            <w:bottom w:w="0" w:type="dxa"/>
            <w:right w:w="108" w:type="dxa"/>
          </w:tblCellMar>
        </w:tblPrEx>
        <w:trPr>
          <w:trHeight w:val="669"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4</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9"/>
                <w:color w:val="auto"/>
                <w:sz w:val="21"/>
                <w:szCs w:val="21"/>
                <w:lang w:val="en-US" w:eastAsia="zh-CN" w:bidi="ar"/>
              </w:rPr>
              <w:t>广西中马钦州产业园区孔雀湾混凝土有限公司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Style w:val="9"/>
                <w:rFonts w:hint="default"/>
                <w:color w:val="auto"/>
                <w:sz w:val="21"/>
                <w:szCs w:val="21"/>
                <w:lang w:val="en-US" w:eastAsia="zh-CN" w:bidi="ar"/>
              </w:rPr>
            </w:pPr>
            <w:r>
              <w:rPr>
                <w:rStyle w:val="9"/>
                <w:rFonts w:hint="eastAsia"/>
                <w:color w:val="auto"/>
                <w:sz w:val="21"/>
                <w:szCs w:val="21"/>
                <w:lang w:val="en-US" w:eastAsia="zh-CN" w:bidi="ar"/>
              </w:rPr>
              <w:t>混凝土生产及销售</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7,506</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6,059</w:t>
            </w:r>
          </w:p>
        </w:tc>
      </w:tr>
      <w:tr>
        <w:tblPrEx>
          <w:shd w:val="clear" w:color="auto" w:fill="auto"/>
          <w:tblCellMar>
            <w:top w:w="0" w:type="dxa"/>
            <w:left w:w="108" w:type="dxa"/>
            <w:bottom w:w="0" w:type="dxa"/>
            <w:right w:w="108" w:type="dxa"/>
          </w:tblCellMar>
        </w:tblPrEx>
        <w:trPr>
          <w:trHeight w:val="442"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5</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9"/>
                <w:color w:val="auto"/>
                <w:sz w:val="21"/>
                <w:szCs w:val="21"/>
                <w:lang w:val="en-US" w:eastAsia="zh-CN" w:bidi="ar"/>
              </w:rPr>
              <w:t>广西中马孔雀湾石油有限公司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Style w:val="9"/>
                <w:rFonts w:hint="default"/>
                <w:color w:val="auto"/>
                <w:sz w:val="21"/>
                <w:szCs w:val="21"/>
                <w:lang w:val="en-US" w:eastAsia="zh-CN" w:bidi="ar"/>
              </w:rPr>
            </w:pPr>
            <w:r>
              <w:rPr>
                <w:rStyle w:val="9"/>
                <w:rFonts w:hint="eastAsia"/>
                <w:color w:val="auto"/>
                <w:sz w:val="21"/>
                <w:szCs w:val="21"/>
                <w:lang w:val="en-US" w:eastAsia="zh-CN" w:bidi="ar"/>
              </w:rPr>
              <w:t>成品油销售</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1,728</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2,521</w:t>
            </w:r>
          </w:p>
        </w:tc>
      </w:tr>
      <w:tr>
        <w:tblPrEx>
          <w:shd w:val="clear" w:color="auto" w:fill="auto"/>
          <w:tblCellMar>
            <w:top w:w="0" w:type="dxa"/>
            <w:left w:w="108" w:type="dxa"/>
            <w:bottom w:w="0" w:type="dxa"/>
            <w:right w:w="108" w:type="dxa"/>
          </w:tblCellMar>
        </w:tblPrEx>
        <w:trPr>
          <w:trHeight w:val="646"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2"/>
                <w:sz w:val="21"/>
                <w:szCs w:val="21"/>
                <w:u w:val="none"/>
                <w:lang w:val="en-US" w:eastAsia="zh-CN" w:bidi="ar-SA"/>
              </w:rPr>
            </w:pPr>
            <w:r>
              <w:rPr>
                <w:rFonts w:hint="default" w:ascii="Times New Roman" w:hAnsi="Times New Roman" w:eastAsia="宋体" w:cs="Times New Roman"/>
                <w:i w:val="0"/>
                <w:iCs w:val="0"/>
                <w:color w:val="auto"/>
                <w:kern w:val="0"/>
                <w:sz w:val="21"/>
                <w:szCs w:val="21"/>
                <w:u w:val="none"/>
                <w:lang w:val="en-US" w:eastAsia="zh-CN" w:bidi="ar"/>
              </w:rPr>
              <w:t>6</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color w:val="auto"/>
                <w:kern w:val="2"/>
                <w:sz w:val="21"/>
                <w:szCs w:val="21"/>
                <w:u w:val="none"/>
                <w:lang w:val="en-US" w:eastAsia="zh-CN" w:bidi="ar"/>
              </w:rPr>
            </w:pPr>
            <w:r>
              <w:rPr>
                <w:rStyle w:val="9"/>
                <w:rFonts w:hint="eastAsia"/>
                <w:color w:val="auto"/>
                <w:sz w:val="21"/>
                <w:szCs w:val="21"/>
                <w:highlight w:val="none"/>
                <w:lang w:val="en-US" w:eastAsia="zh-CN" w:bidi="ar"/>
              </w:rPr>
              <w:t>广西孔雀湾建设工程有限公司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Style w:val="9"/>
                <w:rFonts w:hint="default"/>
                <w:color w:val="auto"/>
                <w:sz w:val="21"/>
                <w:szCs w:val="21"/>
                <w:highlight w:val="yellow"/>
                <w:lang w:val="en-US" w:eastAsia="zh-CN" w:bidi="ar"/>
              </w:rPr>
            </w:pPr>
            <w:r>
              <w:rPr>
                <w:rStyle w:val="9"/>
                <w:rFonts w:hint="eastAsia"/>
                <w:color w:val="auto"/>
                <w:sz w:val="21"/>
                <w:szCs w:val="21"/>
                <w:highlight w:val="none"/>
                <w:lang w:val="en-US" w:eastAsia="zh-CN" w:bidi="ar"/>
              </w:rPr>
              <w:t>园林绿化施工、养护及其他建设工程</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u w:val="none"/>
                <w:lang w:val="en-US" w:eastAsia="zh-CN" w:bidi="ar"/>
              </w:rPr>
            </w:pPr>
            <w:r>
              <w:rPr>
                <w:rFonts w:hint="eastAsia" w:ascii="Times New Roman" w:hAnsi="Times New Roman" w:cs="Times New Roman"/>
                <w:color w:val="auto"/>
                <w:kern w:val="2"/>
                <w:sz w:val="21"/>
                <w:szCs w:val="21"/>
                <w:u w:val="none"/>
                <w:lang w:val="en-US" w:eastAsia="zh-CN" w:bidi="ar"/>
              </w:rPr>
              <w:t>4,662</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
                <w:sz w:val="21"/>
                <w:szCs w:val="21"/>
                <w:u w:val="none"/>
                <w:lang w:val="en-US" w:eastAsia="zh-CN" w:bidi="ar"/>
              </w:rPr>
            </w:pPr>
            <w:r>
              <w:rPr>
                <w:rFonts w:hint="eastAsia" w:ascii="Times New Roman" w:hAnsi="Times New Roman" w:cs="Times New Roman"/>
                <w:color w:val="auto"/>
                <w:kern w:val="2"/>
                <w:sz w:val="21"/>
                <w:szCs w:val="21"/>
                <w:u w:val="none"/>
                <w:lang w:val="en-US" w:eastAsia="zh-CN" w:bidi="ar"/>
              </w:rPr>
              <w:t>7,505</w:t>
            </w:r>
          </w:p>
        </w:tc>
      </w:tr>
      <w:tr>
        <w:tblPrEx>
          <w:shd w:val="clear" w:color="auto" w:fill="auto"/>
          <w:tblCellMar>
            <w:top w:w="0" w:type="dxa"/>
            <w:left w:w="108" w:type="dxa"/>
            <w:bottom w:w="0" w:type="dxa"/>
            <w:right w:w="108" w:type="dxa"/>
          </w:tblCellMar>
        </w:tblPrEx>
        <w:trPr>
          <w:trHeight w:val="612"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7</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color w:val="auto"/>
                <w:sz w:val="21"/>
                <w:szCs w:val="21"/>
                <w:lang w:val="en-US" w:eastAsia="zh-CN" w:bidi="ar"/>
              </w:rPr>
            </w:pPr>
            <w:r>
              <w:rPr>
                <w:rStyle w:val="9"/>
                <w:color w:val="auto"/>
                <w:sz w:val="21"/>
                <w:szCs w:val="21"/>
                <w:lang w:val="en-US" w:eastAsia="zh-CN" w:bidi="ar"/>
              </w:rPr>
              <w:t>广西中马钦丹产业服务有限</w:t>
            </w:r>
          </w:p>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9"/>
                <w:color w:val="auto"/>
                <w:sz w:val="21"/>
                <w:szCs w:val="21"/>
                <w:lang w:val="en-US" w:eastAsia="zh-CN" w:bidi="ar"/>
              </w:rPr>
              <w:t>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Style w:val="9"/>
                <w:rFonts w:hint="default"/>
                <w:color w:val="auto"/>
                <w:sz w:val="21"/>
                <w:szCs w:val="21"/>
                <w:lang w:val="en-US" w:eastAsia="zh-CN" w:bidi="ar"/>
              </w:rPr>
            </w:pPr>
            <w:r>
              <w:rPr>
                <w:rStyle w:val="9"/>
                <w:rFonts w:hint="eastAsia"/>
                <w:color w:val="auto"/>
                <w:sz w:val="21"/>
                <w:szCs w:val="21"/>
                <w:lang w:val="en-US" w:eastAsia="zh-CN" w:bidi="ar"/>
              </w:rPr>
              <w:t>贸易业务</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2,438</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7,759</w:t>
            </w:r>
          </w:p>
        </w:tc>
      </w:tr>
      <w:tr>
        <w:tblPrEx>
          <w:shd w:val="clear" w:color="auto" w:fill="auto"/>
          <w:tblCellMar>
            <w:top w:w="0" w:type="dxa"/>
            <w:left w:w="108" w:type="dxa"/>
            <w:bottom w:w="0" w:type="dxa"/>
            <w:right w:w="108" w:type="dxa"/>
          </w:tblCellMar>
        </w:tblPrEx>
        <w:trPr>
          <w:trHeight w:val="612" w:hRule="atLeast"/>
        </w:trPr>
        <w:tc>
          <w:tcPr>
            <w:tcW w:w="557"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eastAsia="宋体" w:cs="Times New Roman"/>
                <w:i w:val="0"/>
                <w:iCs w:val="0"/>
                <w:color w:val="auto"/>
                <w:kern w:val="0"/>
                <w:sz w:val="21"/>
                <w:szCs w:val="21"/>
                <w:u w:val="none"/>
                <w:lang w:val="en-US" w:eastAsia="zh-CN" w:bidi="ar"/>
              </w:rPr>
              <w:t>8</w:t>
            </w:r>
          </w:p>
        </w:tc>
        <w:tc>
          <w:tcPr>
            <w:tcW w:w="3153" w:type="dxa"/>
            <w:tcBorders>
              <w:top w:val="single" w:color="000000" w:sz="4" w:space="0"/>
              <w:left w:val="single" w:color="000000"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9"/>
                <w:color w:val="auto"/>
                <w:sz w:val="21"/>
                <w:szCs w:val="21"/>
                <w:lang w:val="en-US" w:eastAsia="zh-CN" w:bidi="ar"/>
              </w:rPr>
            </w:pPr>
            <w:r>
              <w:rPr>
                <w:rFonts w:hint="eastAsia" w:ascii="宋体" w:hAnsi="宋体" w:eastAsia="宋体" w:cs="宋体"/>
                <w:i w:val="0"/>
                <w:iCs w:val="0"/>
                <w:color w:val="auto"/>
                <w:kern w:val="0"/>
                <w:sz w:val="21"/>
                <w:szCs w:val="21"/>
                <w:u w:val="none"/>
                <w:lang w:val="en-US" w:eastAsia="zh-CN" w:bidi="ar"/>
              </w:rPr>
              <w:t>广西自贸区新奥燃气发展有限公司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FFFFFF" w:themeFill="background1"/>
            <w:noWrap/>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1"/>
                <w:szCs w:val="21"/>
                <w:u w:val="none"/>
                <w:lang w:val="en-US" w:eastAsia="zh-CN" w:bidi="ar"/>
              </w:rPr>
            </w:pPr>
            <w:r>
              <w:rPr>
                <w:rFonts w:hint="eastAsia" w:ascii="宋体" w:hAnsi="宋体" w:cs="宋体"/>
                <w:i w:val="0"/>
                <w:iCs w:val="0"/>
                <w:color w:val="auto"/>
                <w:kern w:val="0"/>
                <w:sz w:val="21"/>
                <w:szCs w:val="21"/>
                <w:u w:val="none"/>
                <w:lang w:val="en-US" w:eastAsia="zh-CN" w:bidi="ar"/>
              </w:rPr>
              <w:t>暂停营业</w:t>
            </w:r>
          </w:p>
        </w:tc>
        <w:tc>
          <w:tcPr>
            <w:tcW w:w="1710" w:type="dxa"/>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0</w:t>
            </w:r>
          </w:p>
        </w:tc>
        <w:tc>
          <w:tcPr>
            <w:tcW w:w="1725" w:type="dxa"/>
            <w:tcBorders>
              <w:top w:val="single" w:color="000000" w:sz="4" w:space="0"/>
              <w:left w:val="single" w:color="auto" w:sz="4" w:space="0"/>
              <w:bottom w:val="single" w:color="000000" w:sz="4" w:space="0"/>
              <w:right w:val="single" w:color="000000" w:sz="4" w:space="0"/>
            </w:tcBorders>
            <w:shd w:val="clear" w:color="auto" w:fill="FFFFFF" w:themeFill="background1"/>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0</w:t>
            </w:r>
          </w:p>
        </w:tc>
      </w:tr>
      <w:tr>
        <w:tblPrEx>
          <w:shd w:val="clear" w:color="auto" w:fill="auto"/>
          <w:tblCellMar>
            <w:top w:w="0" w:type="dxa"/>
            <w:left w:w="108" w:type="dxa"/>
            <w:bottom w:w="0" w:type="dxa"/>
            <w:right w:w="108" w:type="dxa"/>
          </w:tblCellMar>
        </w:tblPrEx>
        <w:trPr>
          <w:trHeight w:val="612"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eastAsia" w:ascii="Times New Roman" w:hAnsi="Times New Roman" w:eastAsia="宋体" w:cs="Times New Roman"/>
                <w:i w:val="0"/>
                <w:iCs w:val="0"/>
                <w:color w:val="auto"/>
                <w:kern w:val="0"/>
                <w:sz w:val="21"/>
                <w:szCs w:val="21"/>
                <w:u w:val="none"/>
                <w:lang w:val="en-US" w:eastAsia="zh-CN" w:bidi="ar"/>
              </w:rPr>
              <w:t>9</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9"/>
                <w:color w:val="auto"/>
                <w:sz w:val="21"/>
                <w:szCs w:val="21"/>
                <w:lang w:val="en-US" w:eastAsia="zh-CN" w:bidi="ar"/>
              </w:rPr>
              <w:t>广西孔雀湾友谊投资开发有限公司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Style w:val="9"/>
                <w:color w:val="auto"/>
                <w:sz w:val="21"/>
                <w:szCs w:val="21"/>
                <w:lang w:val="en-US" w:eastAsia="zh-CN" w:bidi="ar"/>
              </w:rPr>
            </w:pPr>
            <w:r>
              <w:rPr>
                <w:rStyle w:val="9"/>
                <w:rFonts w:hint="eastAsia"/>
                <w:color w:val="auto"/>
                <w:sz w:val="21"/>
                <w:szCs w:val="21"/>
                <w:lang w:val="en-US" w:eastAsia="zh-CN" w:bidi="ar"/>
              </w:rPr>
              <w:t>未开始经营</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4,494</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0</w:t>
            </w:r>
          </w:p>
        </w:tc>
      </w:tr>
      <w:tr>
        <w:tblPrEx>
          <w:shd w:val="clear" w:color="auto" w:fill="auto"/>
          <w:tblCellMar>
            <w:top w:w="0" w:type="dxa"/>
            <w:left w:w="108" w:type="dxa"/>
            <w:bottom w:w="0" w:type="dxa"/>
            <w:right w:w="108" w:type="dxa"/>
          </w:tblCellMar>
        </w:tblPrEx>
        <w:trPr>
          <w:trHeight w:val="612"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lang w:val="en-US"/>
              </w:rPr>
            </w:pPr>
            <w:r>
              <w:rPr>
                <w:rFonts w:hint="eastAsia" w:ascii="Times New Roman" w:hAnsi="Times New Roman" w:eastAsia="宋体" w:cs="Times New Roman"/>
                <w:i w:val="0"/>
                <w:iCs w:val="0"/>
                <w:color w:val="auto"/>
                <w:kern w:val="0"/>
                <w:sz w:val="21"/>
                <w:szCs w:val="21"/>
                <w:u w:val="none"/>
                <w:lang w:val="en-US" w:eastAsia="zh-CN" w:bidi="ar"/>
              </w:rPr>
              <w:t>10</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Style w:val="9"/>
                <w:color w:val="auto"/>
                <w:sz w:val="21"/>
                <w:szCs w:val="21"/>
                <w:lang w:val="en-US" w:eastAsia="zh-CN" w:bidi="ar"/>
              </w:rPr>
              <w:t>广西孔雀湾锦绣投资开发有限公司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Style w:val="9"/>
                <w:color w:val="auto"/>
                <w:sz w:val="21"/>
                <w:szCs w:val="21"/>
                <w:lang w:val="en-US" w:eastAsia="zh-CN" w:bidi="ar"/>
              </w:rPr>
            </w:pPr>
            <w:r>
              <w:rPr>
                <w:rStyle w:val="9"/>
                <w:rFonts w:hint="eastAsia"/>
                <w:color w:val="auto"/>
                <w:sz w:val="21"/>
                <w:szCs w:val="21"/>
                <w:lang w:val="en-US" w:eastAsia="zh-CN" w:bidi="ar"/>
              </w:rPr>
              <w:t>未开始经营</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3,505</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Style w:val="9"/>
                <w:rFonts w:hint="default" w:ascii="Times New Roman" w:hAnsi="Times New Roman" w:cs="Times New Roman"/>
                <w:color w:val="auto"/>
                <w:sz w:val="21"/>
                <w:szCs w:val="21"/>
                <w:lang w:val="en-US" w:eastAsia="zh-CN" w:bidi="ar"/>
              </w:rPr>
            </w:pPr>
            <w:r>
              <w:rPr>
                <w:rStyle w:val="9"/>
                <w:rFonts w:hint="eastAsia" w:ascii="Times New Roman" w:hAnsi="Times New Roman" w:cs="Times New Roman"/>
                <w:color w:val="auto"/>
                <w:sz w:val="21"/>
                <w:szCs w:val="21"/>
                <w:lang w:val="en-US" w:eastAsia="zh-CN" w:bidi="ar"/>
              </w:rPr>
              <w:t>0</w:t>
            </w:r>
          </w:p>
        </w:tc>
      </w:tr>
      <w:tr>
        <w:tblPrEx>
          <w:shd w:val="clear" w:color="auto" w:fill="auto"/>
          <w:tblCellMar>
            <w:top w:w="0" w:type="dxa"/>
            <w:left w:w="108" w:type="dxa"/>
            <w:bottom w:w="0" w:type="dxa"/>
            <w:right w:w="108" w:type="dxa"/>
          </w:tblCellMar>
        </w:tblPrEx>
        <w:trPr>
          <w:trHeight w:val="612" w:hRule="atLeast"/>
        </w:trPr>
        <w:tc>
          <w:tcPr>
            <w:tcW w:w="5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sz w:val="21"/>
                <w:szCs w:val="21"/>
                <w:u w:val="none"/>
              </w:rPr>
            </w:pPr>
            <w:r>
              <w:rPr>
                <w:rFonts w:hint="default" w:ascii="Times New Roman" w:hAnsi="Times New Roman" w:eastAsia="宋体" w:cs="Times New Roman"/>
                <w:i w:val="0"/>
                <w:iCs w:val="0"/>
                <w:color w:val="auto"/>
                <w:kern w:val="0"/>
                <w:sz w:val="21"/>
                <w:szCs w:val="21"/>
                <w:u w:val="none"/>
                <w:lang w:val="en-US" w:eastAsia="zh-CN" w:bidi="ar"/>
              </w:rPr>
              <w:t>1</w:t>
            </w:r>
            <w:r>
              <w:rPr>
                <w:rFonts w:hint="eastAsia" w:ascii="Times New Roman" w:hAnsi="Times New Roman" w:eastAsia="宋体" w:cs="Times New Roman"/>
                <w:i w:val="0"/>
                <w:iCs w:val="0"/>
                <w:color w:val="auto"/>
                <w:kern w:val="0"/>
                <w:sz w:val="21"/>
                <w:szCs w:val="21"/>
                <w:u w:val="none"/>
                <w:lang w:val="en-US" w:eastAsia="zh-CN" w:bidi="ar"/>
              </w:rPr>
              <w:t>1</w:t>
            </w:r>
          </w:p>
        </w:tc>
        <w:tc>
          <w:tcPr>
            <w:tcW w:w="315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color w:val="auto"/>
                <w:kern w:val="0"/>
                <w:sz w:val="21"/>
                <w:szCs w:val="21"/>
                <w:u w:val="none"/>
                <w:lang w:val="en-US" w:eastAsia="zh-CN" w:bidi="ar"/>
              </w:rPr>
              <w:t>广西自贸区中马佳净投资开发有限公司</w:t>
            </w:r>
          </w:p>
        </w:tc>
        <w:tc>
          <w:tcPr>
            <w:tcW w:w="1965"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1"/>
                <w:szCs w:val="21"/>
                <w:u w:val="none"/>
                <w:lang w:val="en-US" w:eastAsia="zh-CN" w:bidi="ar"/>
              </w:rPr>
            </w:pPr>
            <w:r>
              <w:rPr>
                <w:rStyle w:val="9"/>
                <w:rFonts w:hint="eastAsia"/>
                <w:color w:val="auto"/>
                <w:sz w:val="21"/>
                <w:szCs w:val="21"/>
                <w:lang w:val="en-US" w:eastAsia="zh-CN" w:bidi="ar"/>
              </w:rPr>
              <w:t>未开始经营</w:t>
            </w:r>
          </w:p>
        </w:tc>
        <w:tc>
          <w:tcPr>
            <w:tcW w:w="1710"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cs="Times New Roman"/>
                <w:i w:val="0"/>
                <w:iCs w:val="0"/>
                <w:color w:val="auto"/>
                <w:kern w:val="0"/>
                <w:sz w:val="21"/>
                <w:szCs w:val="21"/>
                <w:u w:val="none"/>
                <w:lang w:val="en-US" w:eastAsia="zh-CN" w:bidi="ar"/>
              </w:rPr>
              <w:t>49</w:t>
            </w:r>
          </w:p>
        </w:tc>
        <w:tc>
          <w:tcPr>
            <w:tcW w:w="1725" w:type="dxa"/>
            <w:tcBorders>
              <w:top w:val="single" w:color="000000" w:sz="4" w:space="0"/>
              <w:left w:val="single" w:color="auto"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auto"/>
                <w:kern w:val="0"/>
                <w:sz w:val="21"/>
                <w:szCs w:val="21"/>
                <w:u w:val="none"/>
                <w:lang w:val="en-US" w:eastAsia="zh-CN" w:bidi="ar"/>
              </w:rPr>
            </w:pPr>
            <w:r>
              <w:rPr>
                <w:rFonts w:hint="eastAsia" w:ascii="Times New Roman" w:hAnsi="Times New Roman" w:cs="Times New Roman"/>
                <w:i w:val="0"/>
                <w:iCs w:val="0"/>
                <w:color w:val="auto"/>
                <w:kern w:val="0"/>
                <w:sz w:val="21"/>
                <w:szCs w:val="21"/>
                <w:u w:val="none"/>
                <w:lang w:val="en-US" w:eastAsia="zh-CN" w:bidi="ar"/>
              </w:rPr>
              <w:t>0</w:t>
            </w:r>
          </w:p>
        </w:tc>
      </w:tr>
    </w:tbl>
    <w:p>
      <w:pPr>
        <w:keepNext/>
        <w:keepLines w:val="0"/>
        <w:pageBreakBefore w:val="0"/>
        <w:widowControl w:val="0"/>
        <w:kinsoku/>
        <w:wordWrap/>
        <w:overflowPunct/>
        <w:topLinePunct w:val="0"/>
        <w:autoSpaceDE/>
        <w:autoSpaceDN/>
        <w:bidi w:val="0"/>
        <w:adjustRightInd w:val="0"/>
        <w:snapToGrid w:val="0"/>
        <w:spacing w:before="162" w:beforeLines="50" w:line="500" w:lineRule="exact"/>
        <w:ind w:right="0" w:rightChars="0" w:firstLine="600" w:firstLineChars="200"/>
        <w:jc w:val="both"/>
        <w:textAlignment w:val="auto"/>
        <w:outlineLvl w:val="9"/>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（二）服务内容：</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1.对以下财务报表及附注进行审计：</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（1）2023年12月31日资产负债表；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（2）2023年12月31日合并资产负债表；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（3）2023年利润表；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（4）2023年合并利润表；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（5）2023年现金流量表；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（6）2023年合并现金流量表；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（7）2023年所有者权益变动表；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（8）2023年合并所有者权益变动表；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（9）2023年财务报表附注；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（10）2023年合并财务报表附注。</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2.对截至2023年12月31日按照《企业内部控制基本规范》和相关规定建立的内部控制设计与</w:t>
      </w:r>
      <w:r>
        <w:rPr>
          <w:rFonts w:hint="eastAsia" w:ascii="Times New Roman" w:hAnsi="仿宋" w:eastAsia="仿宋"/>
          <w:color w:val="auto"/>
          <w:sz w:val="30"/>
          <w:szCs w:val="30"/>
          <w:highlight w:val="none"/>
          <w:lang w:val="en-US" w:eastAsia="zh-CN"/>
        </w:rPr>
        <w:t>运行</w:t>
      </w:r>
      <w:r>
        <w:rPr>
          <w:rFonts w:hint="eastAsia" w:ascii="Times New Roman" w:hAnsi="仿宋" w:eastAsia="仿宋"/>
          <w:color w:val="auto"/>
          <w:sz w:val="30"/>
          <w:szCs w:val="30"/>
          <w:lang w:val="en-US" w:eastAsia="zh-CN"/>
        </w:rPr>
        <w:t>进行审计，并对其有效性发表审计意见。</w:t>
      </w:r>
    </w:p>
    <w:p>
      <w:pPr>
        <w:keepNext w:val="0"/>
        <w:keepLines w:val="0"/>
        <w:pageBreakBefore w:val="0"/>
        <w:widowControl w:val="0"/>
        <w:kinsoku/>
        <w:wordWrap/>
        <w:overflowPunct/>
        <w:topLinePunct w:val="0"/>
        <w:autoSpaceDE/>
        <w:autoSpaceDN/>
        <w:bidi w:val="0"/>
        <w:adjustRightInd w:val="0"/>
        <w:snapToGrid w:val="0"/>
        <w:spacing w:before="81" w:beforeLines="25" w:afterLines="0" w:line="500" w:lineRule="exact"/>
        <w:ind w:firstLine="600" w:firstLineChars="200"/>
        <w:textAlignment w:val="auto"/>
        <w:rPr>
          <w:rFonts w:hint="eastAsia" w:ascii="黑体" w:hAnsi="黑体" w:eastAsia="黑体"/>
          <w:color w:val="auto"/>
          <w:sz w:val="30"/>
          <w:szCs w:val="30"/>
          <w:lang w:eastAsia="zh-CN"/>
        </w:rPr>
      </w:pPr>
      <w:r>
        <w:rPr>
          <w:rFonts w:ascii="黑体" w:hAnsi="黑体" w:eastAsia="黑体"/>
          <w:color w:val="auto"/>
          <w:sz w:val="30"/>
          <w:szCs w:val="30"/>
        </w:rPr>
        <w:t>二、</w:t>
      </w:r>
      <w:r>
        <w:rPr>
          <w:rFonts w:hint="eastAsia" w:ascii="黑体" w:hAnsi="黑体" w:eastAsia="黑体"/>
          <w:color w:val="auto"/>
          <w:sz w:val="30"/>
          <w:szCs w:val="30"/>
          <w:lang w:val="en-US" w:eastAsia="zh-CN"/>
        </w:rPr>
        <w:t>服务成果</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（一）按照中国注册会计师审计准则规定的格式和类型出具财务报表审计报告及管理建议书，其中母公司合并报表审计报告及管理建议书中文版、英文版各一式五份，合并范围子公司审计报告中文版一式三份。</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黑体" w:hAnsi="黑体" w:eastAsia="黑体"/>
          <w:color w:val="auto"/>
          <w:sz w:val="30"/>
          <w:szCs w:val="30"/>
          <w:lang w:val="en-US" w:eastAsia="zh-CN"/>
        </w:rPr>
      </w:pPr>
      <w:r>
        <w:rPr>
          <w:rFonts w:hint="eastAsia" w:ascii="Times New Roman" w:hAnsi="仿宋" w:eastAsia="仿宋"/>
          <w:color w:val="auto"/>
          <w:sz w:val="30"/>
          <w:szCs w:val="30"/>
          <w:lang w:val="en-US" w:eastAsia="zh-CN"/>
        </w:rPr>
        <w:t>（二）按照《企业内部控制基本规范》及《企业内部控制审计指引》的要求出具内部控制审计报告，中、英文版各一式三份。</w:t>
      </w:r>
    </w:p>
    <w:p>
      <w:pPr>
        <w:keepNext w:val="0"/>
        <w:keepLines w:val="0"/>
        <w:pageBreakBefore w:val="0"/>
        <w:widowControl w:val="0"/>
        <w:kinsoku/>
        <w:wordWrap/>
        <w:overflowPunct/>
        <w:topLinePunct w:val="0"/>
        <w:autoSpaceDE/>
        <w:autoSpaceDN/>
        <w:bidi w:val="0"/>
        <w:adjustRightInd w:val="0"/>
        <w:snapToGrid w:val="0"/>
        <w:spacing w:before="81" w:beforeLines="25" w:afterLines="0" w:line="50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lang w:val="en-US" w:eastAsia="zh-CN"/>
        </w:rPr>
        <w:t>三</w:t>
      </w:r>
      <w:r>
        <w:rPr>
          <w:rFonts w:ascii="黑体" w:hAnsi="黑体" w:eastAsia="黑体"/>
          <w:color w:val="auto"/>
          <w:sz w:val="30"/>
          <w:szCs w:val="30"/>
        </w:rPr>
        <w:t>、</w:t>
      </w:r>
      <w:r>
        <w:rPr>
          <w:rFonts w:hint="eastAsia" w:ascii="黑体" w:hAnsi="黑体" w:eastAsia="黑体"/>
          <w:color w:val="auto"/>
          <w:sz w:val="30"/>
          <w:szCs w:val="30"/>
          <w:lang w:val="en-US" w:eastAsia="zh-CN"/>
        </w:rPr>
        <w:t>服务</w:t>
      </w:r>
      <w:r>
        <w:rPr>
          <w:rFonts w:ascii="黑体" w:hAnsi="黑体" w:eastAsia="黑体"/>
          <w:color w:val="auto"/>
          <w:sz w:val="30"/>
          <w:szCs w:val="30"/>
        </w:rPr>
        <w:t>要求</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（一）中期现场审计自2023年10月15日之前开始进行。</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highlight w:val="none"/>
          <w:lang w:val="en-US" w:eastAsia="zh-CN"/>
        </w:rPr>
      </w:pPr>
      <w:r>
        <w:rPr>
          <w:rFonts w:hint="eastAsia" w:ascii="Times New Roman" w:hAnsi="仿宋" w:eastAsia="仿宋"/>
          <w:color w:val="auto"/>
          <w:sz w:val="30"/>
          <w:szCs w:val="30"/>
          <w:highlight w:val="none"/>
          <w:lang w:val="en-US" w:eastAsia="zh-CN"/>
        </w:rPr>
        <w:t>（二）年终现场审计自2023年12月4日之前开始进行。</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highlight w:val="none"/>
          <w:lang w:val="en-US" w:eastAsia="zh-CN"/>
        </w:rPr>
      </w:pPr>
      <w:r>
        <w:rPr>
          <w:rFonts w:hint="eastAsia" w:ascii="Times New Roman" w:hAnsi="仿宋" w:eastAsia="仿宋"/>
          <w:color w:val="auto"/>
          <w:sz w:val="30"/>
          <w:szCs w:val="30"/>
          <w:highlight w:val="none"/>
          <w:lang w:val="en-US" w:eastAsia="zh-CN"/>
        </w:rPr>
        <w:t>（三）审计报表定稿数据（中文版）2024年1月6日之前完成。</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highlight w:val="none"/>
          <w:lang w:val="en-US" w:eastAsia="zh-CN"/>
        </w:rPr>
      </w:pPr>
      <w:r>
        <w:rPr>
          <w:rFonts w:hint="eastAsia" w:ascii="Times New Roman" w:hAnsi="仿宋" w:eastAsia="仿宋"/>
          <w:color w:val="auto"/>
          <w:sz w:val="30"/>
          <w:szCs w:val="30"/>
          <w:highlight w:val="none"/>
          <w:lang w:val="en-US" w:eastAsia="zh-CN"/>
        </w:rPr>
        <w:t>（四）财务报表审计报告初稿（中文版）在2024年1月19日之前完成。</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highlight w:val="none"/>
          <w:lang w:val="en-US" w:eastAsia="zh-CN"/>
        </w:rPr>
      </w:pPr>
      <w:r>
        <w:rPr>
          <w:rFonts w:hint="eastAsia" w:ascii="Times New Roman" w:hAnsi="仿宋" w:eastAsia="仿宋"/>
          <w:color w:val="auto"/>
          <w:sz w:val="30"/>
          <w:szCs w:val="30"/>
          <w:highlight w:val="none"/>
          <w:lang w:val="en-US" w:eastAsia="zh-CN"/>
        </w:rPr>
        <w:t>（五）财务报表审计报告定稿及管理建议书（中文版）在2024年1月31日前完成。</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highlight w:val="none"/>
          <w:lang w:val="en-US" w:eastAsia="zh-CN"/>
        </w:rPr>
      </w:pPr>
      <w:r>
        <w:rPr>
          <w:rFonts w:hint="eastAsia" w:ascii="Times New Roman" w:hAnsi="仿宋" w:eastAsia="仿宋"/>
          <w:color w:val="auto"/>
          <w:sz w:val="30"/>
          <w:szCs w:val="30"/>
          <w:highlight w:val="none"/>
          <w:lang w:val="en-US" w:eastAsia="zh-CN"/>
        </w:rPr>
        <w:t>（六）财务报表审计报告定稿及管理建议书（英文版）在2024年2月21日之前完成。</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highlight w:val="none"/>
          <w:lang w:val="en-US" w:eastAsia="zh-CN"/>
        </w:rPr>
      </w:pPr>
      <w:r>
        <w:rPr>
          <w:rFonts w:hint="eastAsia" w:ascii="Times New Roman" w:hAnsi="仿宋" w:eastAsia="仿宋"/>
          <w:color w:val="auto"/>
          <w:sz w:val="30"/>
          <w:szCs w:val="30"/>
          <w:highlight w:val="none"/>
          <w:lang w:val="en-US" w:eastAsia="zh-CN"/>
        </w:rPr>
        <w:t>（七）内部控制审计报告定稿（中、英文版）在2024年2月21日之前完成。</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highlight w:val="none"/>
          <w:lang w:val="en-US" w:eastAsia="zh-CN"/>
        </w:rPr>
      </w:pPr>
      <w:r>
        <w:rPr>
          <w:rFonts w:hint="eastAsia" w:ascii="Times New Roman" w:hAnsi="仿宋" w:eastAsia="仿宋"/>
          <w:color w:val="auto"/>
          <w:sz w:val="30"/>
          <w:szCs w:val="30"/>
          <w:highlight w:val="none"/>
          <w:lang w:val="en-US" w:eastAsia="zh-CN"/>
        </w:rPr>
        <w:t>（八）以上审计报告及管理建议书分别在公司审计委员会、董事会会议审议时，服务单位均需安排审计人员列席，对会上提出的疑问进行相关解答。</w:t>
      </w:r>
    </w:p>
    <w:p>
      <w:pPr>
        <w:keepNext w:val="0"/>
        <w:keepLines w:val="0"/>
        <w:pageBreakBefore w:val="0"/>
        <w:widowControl w:val="0"/>
        <w:kinsoku/>
        <w:wordWrap/>
        <w:overflowPunct/>
        <w:topLinePunct w:val="0"/>
        <w:autoSpaceDE/>
        <w:autoSpaceDN/>
        <w:bidi w:val="0"/>
        <w:adjustRightInd w:val="0"/>
        <w:snapToGrid w:val="0"/>
        <w:spacing w:before="81" w:beforeLines="25" w:afterLines="0" w:line="50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lang w:val="en-US" w:eastAsia="zh-CN"/>
        </w:rPr>
        <w:t>四</w:t>
      </w:r>
      <w:r>
        <w:rPr>
          <w:rFonts w:ascii="黑体" w:hAnsi="黑体" w:eastAsia="黑体"/>
          <w:color w:val="auto"/>
          <w:sz w:val="30"/>
          <w:szCs w:val="30"/>
        </w:rPr>
        <w:t>、报价单位要求</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（一）中国境内具有法定资格的会计师事务所。</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（二）有固定的工作场所、健全的组织架构、完善的质量控制制度和风险管理制度。</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highlight w:val="none"/>
          <w:lang w:val="en-US" w:eastAsia="zh-CN"/>
        </w:rPr>
      </w:pPr>
      <w:r>
        <w:rPr>
          <w:rFonts w:hint="eastAsia" w:ascii="Times New Roman" w:hAnsi="仿宋" w:eastAsia="仿宋"/>
          <w:color w:val="auto"/>
          <w:sz w:val="30"/>
          <w:szCs w:val="30"/>
          <w:lang w:val="en-US" w:eastAsia="zh-CN"/>
        </w:rPr>
        <w:t>（三）</w:t>
      </w:r>
      <w:r>
        <w:rPr>
          <w:rFonts w:hint="default" w:ascii="Times New Roman" w:hAnsi="仿宋" w:eastAsia="仿宋"/>
          <w:color w:val="auto"/>
          <w:sz w:val="30"/>
          <w:szCs w:val="30"/>
          <w:highlight w:val="none"/>
          <w:lang w:val="en-US" w:eastAsia="zh-CN"/>
        </w:rPr>
        <w:t>具有履行合同所必须的专业技术能力</w:t>
      </w:r>
      <w:r>
        <w:rPr>
          <w:rFonts w:hint="eastAsia" w:ascii="Times New Roman" w:hAnsi="仿宋" w:eastAsia="仿宋"/>
          <w:color w:val="auto"/>
          <w:sz w:val="30"/>
          <w:szCs w:val="30"/>
          <w:highlight w:val="none"/>
          <w:lang w:val="en-US" w:eastAsia="zh-CN"/>
        </w:rPr>
        <w:t>，及</w:t>
      </w:r>
      <w:r>
        <w:rPr>
          <w:rFonts w:hint="default" w:ascii="Times New Roman" w:hAnsi="仿宋" w:eastAsia="仿宋"/>
          <w:color w:val="auto"/>
          <w:sz w:val="30"/>
          <w:szCs w:val="30"/>
          <w:highlight w:val="none"/>
          <w:lang w:val="en-US" w:eastAsia="zh-CN"/>
        </w:rPr>
        <w:t>丰富的执业经验。</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highlight w:val="none"/>
          <w:lang w:val="en-US" w:eastAsia="zh-CN"/>
        </w:rPr>
      </w:pPr>
      <w:r>
        <w:rPr>
          <w:rFonts w:hint="eastAsia" w:ascii="Times New Roman" w:hAnsi="仿宋" w:eastAsia="仿宋"/>
          <w:color w:val="auto"/>
          <w:sz w:val="30"/>
          <w:szCs w:val="30"/>
          <w:highlight w:val="none"/>
          <w:lang w:val="en-US" w:eastAsia="zh-CN"/>
        </w:rPr>
        <w:t>（四）2020-2022年平均鉴证业务收入不小于300万元（不含一起核算的其他业务收入）。</w:t>
      </w:r>
    </w:p>
    <w:p>
      <w:pPr>
        <w:keepNext w:val="0"/>
        <w:keepLines w:val="0"/>
        <w:pageBreakBefore w:val="0"/>
        <w:widowControl w:val="0"/>
        <w:kinsoku/>
        <w:wordWrap/>
        <w:overflowPunct/>
        <w:topLinePunct w:val="0"/>
        <w:autoSpaceDE/>
        <w:autoSpaceDN/>
        <w:bidi w:val="0"/>
        <w:adjustRightInd w:val="0"/>
        <w:snapToGrid w:val="0"/>
        <w:spacing w:line="500" w:lineRule="exact"/>
        <w:ind w:right="0" w:rightChars="0" w:firstLine="600" w:firstLineChars="200"/>
        <w:jc w:val="both"/>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（五）</w:t>
      </w:r>
      <w:r>
        <w:rPr>
          <w:rFonts w:hint="default" w:ascii="Times New Roman" w:hAnsi="仿宋" w:eastAsia="仿宋"/>
          <w:color w:val="auto"/>
          <w:sz w:val="30"/>
          <w:szCs w:val="30"/>
          <w:lang w:val="en-US" w:eastAsia="zh-CN"/>
        </w:rPr>
        <w:t>有良好的诚信记录，近</w:t>
      </w:r>
      <w:r>
        <w:rPr>
          <w:rFonts w:hint="eastAsia" w:ascii="Times New Roman" w:hAnsi="仿宋" w:eastAsia="仿宋"/>
          <w:color w:val="auto"/>
          <w:sz w:val="30"/>
          <w:szCs w:val="30"/>
          <w:lang w:val="en-US" w:eastAsia="zh-CN"/>
        </w:rPr>
        <w:t>3</w:t>
      </w:r>
      <w:r>
        <w:rPr>
          <w:rFonts w:hint="default" w:ascii="Times New Roman" w:hAnsi="仿宋" w:eastAsia="仿宋"/>
          <w:color w:val="auto"/>
          <w:sz w:val="30"/>
          <w:szCs w:val="30"/>
          <w:lang w:val="en-US" w:eastAsia="zh-CN"/>
        </w:rPr>
        <w:t>年在经营活动中无</w:t>
      </w:r>
      <w:r>
        <w:rPr>
          <w:rFonts w:hint="eastAsia" w:ascii="Times New Roman" w:hAnsi="仿宋" w:eastAsia="仿宋"/>
          <w:color w:val="auto"/>
          <w:sz w:val="30"/>
          <w:szCs w:val="30"/>
          <w:lang w:val="en-US" w:eastAsia="zh-CN"/>
        </w:rPr>
        <w:t>严重</w:t>
      </w:r>
      <w:r>
        <w:rPr>
          <w:rFonts w:hint="default" w:ascii="Times New Roman" w:hAnsi="仿宋" w:eastAsia="仿宋"/>
          <w:color w:val="auto"/>
          <w:sz w:val="30"/>
          <w:szCs w:val="30"/>
          <w:lang w:val="en-US" w:eastAsia="zh-CN"/>
        </w:rPr>
        <w:t>违规违纪</w:t>
      </w:r>
      <w:r>
        <w:rPr>
          <w:rFonts w:hint="eastAsia" w:ascii="Times New Roman" w:hAnsi="仿宋" w:eastAsia="仿宋"/>
          <w:color w:val="auto"/>
          <w:sz w:val="30"/>
          <w:szCs w:val="30"/>
          <w:lang w:val="en-US" w:eastAsia="zh-CN"/>
        </w:rPr>
        <w:t>记录及</w:t>
      </w:r>
      <w:r>
        <w:rPr>
          <w:rFonts w:hint="default" w:ascii="Times New Roman" w:hAnsi="仿宋" w:eastAsia="仿宋"/>
          <w:color w:val="auto"/>
          <w:sz w:val="30"/>
          <w:szCs w:val="30"/>
          <w:lang w:val="en-US" w:eastAsia="zh-CN"/>
        </w:rPr>
        <w:t>违法</w:t>
      </w:r>
      <w:r>
        <w:rPr>
          <w:rFonts w:hint="eastAsia" w:ascii="Times New Roman" w:hAnsi="仿宋" w:eastAsia="仿宋"/>
          <w:color w:val="auto"/>
          <w:sz w:val="30"/>
          <w:szCs w:val="30"/>
          <w:lang w:val="en-US" w:eastAsia="zh-CN"/>
        </w:rPr>
        <w:t>的</w:t>
      </w:r>
      <w:r>
        <w:rPr>
          <w:rFonts w:hint="default" w:ascii="Times New Roman" w:hAnsi="仿宋" w:eastAsia="仿宋"/>
          <w:color w:val="auto"/>
          <w:sz w:val="30"/>
          <w:szCs w:val="30"/>
          <w:lang w:val="en-US" w:eastAsia="zh-CN"/>
        </w:rPr>
        <w:t>记录。</w:t>
      </w:r>
    </w:p>
    <w:p>
      <w:pPr>
        <w:keepNext w:val="0"/>
        <w:keepLines w:val="0"/>
        <w:pageBreakBefore w:val="0"/>
        <w:widowControl w:val="0"/>
        <w:kinsoku/>
        <w:wordWrap/>
        <w:overflowPunct/>
        <w:topLinePunct w:val="0"/>
        <w:autoSpaceDE/>
        <w:autoSpaceDN/>
        <w:bidi w:val="0"/>
        <w:adjustRightInd w:val="0"/>
        <w:snapToGrid w:val="0"/>
        <w:spacing w:before="81" w:beforeLines="25" w:afterLines="0" w:line="500" w:lineRule="exact"/>
        <w:ind w:firstLine="600" w:firstLineChars="200"/>
        <w:textAlignment w:val="auto"/>
        <w:rPr>
          <w:rFonts w:ascii="黑体" w:hAnsi="黑体" w:eastAsia="黑体"/>
          <w:color w:val="auto"/>
          <w:sz w:val="30"/>
          <w:szCs w:val="30"/>
        </w:rPr>
      </w:pPr>
      <w:r>
        <w:rPr>
          <w:rFonts w:hint="eastAsia" w:ascii="黑体" w:hAnsi="黑体" w:eastAsia="黑体"/>
          <w:color w:val="auto"/>
          <w:sz w:val="30"/>
          <w:szCs w:val="30"/>
          <w:lang w:val="en-US" w:eastAsia="zh-CN"/>
        </w:rPr>
        <w:t>五</w:t>
      </w:r>
      <w:r>
        <w:rPr>
          <w:rFonts w:ascii="黑体" w:hAnsi="黑体" w:eastAsia="黑体"/>
          <w:color w:val="auto"/>
          <w:sz w:val="30"/>
          <w:szCs w:val="30"/>
        </w:rPr>
        <w:t>、比选须知</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textAlignment w:val="auto"/>
        <w:rPr>
          <w:rFonts w:ascii="Times New Roman" w:hAnsi="Times New Roman" w:eastAsia="仿宋"/>
          <w:color w:val="auto"/>
          <w:sz w:val="30"/>
          <w:szCs w:val="30"/>
        </w:rPr>
      </w:pPr>
      <w:r>
        <w:rPr>
          <w:rFonts w:ascii="Times New Roman" w:hAnsi="仿宋" w:eastAsia="仿宋"/>
          <w:color w:val="auto"/>
          <w:sz w:val="30"/>
          <w:szCs w:val="30"/>
        </w:rPr>
        <w:t>（</w:t>
      </w:r>
      <w:r>
        <w:rPr>
          <w:rFonts w:hint="eastAsia" w:ascii="Times New Roman" w:hAnsi="仿宋" w:eastAsia="仿宋"/>
          <w:color w:val="auto"/>
          <w:sz w:val="30"/>
          <w:szCs w:val="30"/>
          <w:lang w:val="en-US" w:eastAsia="zh-CN"/>
        </w:rPr>
        <w:t>一</w:t>
      </w:r>
      <w:r>
        <w:rPr>
          <w:rFonts w:ascii="Times New Roman" w:hAnsi="仿宋" w:eastAsia="仿宋"/>
          <w:color w:val="auto"/>
          <w:sz w:val="30"/>
          <w:szCs w:val="30"/>
        </w:rPr>
        <w:t>）</w:t>
      </w:r>
      <w:r>
        <w:rPr>
          <w:rFonts w:hint="eastAsia" w:ascii="Times New Roman" w:hAnsi="仿宋" w:eastAsia="仿宋"/>
          <w:color w:val="auto"/>
          <w:spacing w:val="-6"/>
          <w:sz w:val="30"/>
          <w:szCs w:val="30"/>
          <w:highlight w:val="none"/>
          <w:lang w:eastAsia="zh-CN"/>
        </w:rPr>
        <w:t>接收报价</w:t>
      </w:r>
      <w:r>
        <w:rPr>
          <w:rFonts w:ascii="Times New Roman" w:hAnsi="仿宋" w:eastAsia="仿宋"/>
          <w:color w:val="auto"/>
          <w:spacing w:val="-6"/>
          <w:sz w:val="30"/>
          <w:szCs w:val="30"/>
        </w:rPr>
        <w:t>文件截止日期：至</w:t>
      </w:r>
      <w:r>
        <w:rPr>
          <w:rFonts w:ascii="Times New Roman" w:hAnsi="Times New Roman" w:eastAsia="仿宋"/>
          <w:color w:val="auto"/>
          <w:spacing w:val="-6"/>
          <w:sz w:val="30"/>
          <w:szCs w:val="30"/>
        </w:rPr>
        <w:t>20</w:t>
      </w:r>
      <w:r>
        <w:rPr>
          <w:rFonts w:hint="eastAsia" w:ascii="Times New Roman" w:hAnsi="Times New Roman" w:eastAsia="仿宋"/>
          <w:color w:val="auto"/>
          <w:spacing w:val="-6"/>
          <w:sz w:val="30"/>
          <w:szCs w:val="30"/>
          <w:lang w:val="en-US" w:eastAsia="zh-CN"/>
        </w:rPr>
        <w:t>23</w:t>
      </w:r>
      <w:r>
        <w:rPr>
          <w:rFonts w:ascii="Times New Roman" w:hAnsi="仿宋" w:eastAsia="仿宋"/>
          <w:color w:val="auto"/>
          <w:spacing w:val="-6"/>
          <w:sz w:val="30"/>
          <w:szCs w:val="30"/>
        </w:rPr>
        <w:t>年</w:t>
      </w:r>
      <w:r>
        <w:rPr>
          <w:rFonts w:hint="eastAsia" w:ascii="Times New Roman" w:hAnsi="仿宋" w:eastAsia="仿宋"/>
          <w:color w:val="auto"/>
          <w:spacing w:val="-6"/>
          <w:sz w:val="30"/>
          <w:szCs w:val="30"/>
          <w:lang w:val="en-US" w:eastAsia="zh-CN"/>
        </w:rPr>
        <w:t xml:space="preserve"> 6</w:t>
      </w:r>
      <w:r>
        <w:rPr>
          <w:rFonts w:ascii="Times New Roman" w:hAnsi="仿宋" w:eastAsia="仿宋"/>
          <w:color w:val="auto"/>
          <w:spacing w:val="-6"/>
          <w:sz w:val="30"/>
          <w:szCs w:val="30"/>
        </w:rPr>
        <w:t>月</w:t>
      </w:r>
      <w:r>
        <w:rPr>
          <w:rFonts w:hint="eastAsia" w:ascii="Times New Roman" w:hAnsi="仿宋" w:eastAsia="仿宋"/>
          <w:color w:val="auto"/>
          <w:spacing w:val="-6"/>
          <w:sz w:val="30"/>
          <w:szCs w:val="30"/>
          <w:lang w:val="en-US" w:eastAsia="zh-CN"/>
        </w:rPr>
        <w:t>30</w:t>
      </w:r>
      <w:r>
        <w:rPr>
          <w:rFonts w:ascii="Times New Roman" w:hAnsi="仿宋" w:eastAsia="仿宋"/>
          <w:color w:val="auto"/>
          <w:spacing w:val="-6"/>
          <w:sz w:val="30"/>
          <w:szCs w:val="30"/>
        </w:rPr>
        <w:t>日</w:t>
      </w:r>
      <w:r>
        <w:rPr>
          <w:rFonts w:ascii="Times New Roman" w:hAnsi="Times New Roman" w:eastAsia="仿宋"/>
          <w:color w:val="auto"/>
          <w:spacing w:val="-6"/>
          <w:sz w:val="30"/>
          <w:szCs w:val="30"/>
        </w:rPr>
        <w:t>1</w:t>
      </w:r>
      <w:r>
        <w:rPr>
          <w:rFonts w:hint="eastAsia" w:ascii="Times New Roman" w:hAnsi="Times New Roman" w:eastAsia="仿宋"/>
          <w:color w:val="auto"/>
          <w:spacing w:val="-6"/>
          <w:sz w:val="30"/>
          <w:szCs w:val="30"/>
          <w:lang w:val="en-US" w:eastAsia="zh-CN"/>
        </w:rPr>
        <w:t>8</w:t>
      </w:r>
      <w:r>
        <w:rPr>
          <w:rFonts w:ascii="Times New Roman" w:hAnsi="Times New Roman" w:eastAsia="仿宋"/>
          <w:color w:val="auto"/>
          <w:spacing w:val="-6"/>
          <w:sz w:val="30"/>
          <w:szCs w:val="30"/>
        </w:rPr>
        <w:t>:00</w:t>
      </w:r>
      <w:r>
        <w:rPr>
          <w:rFonts w:ascii="Times New Roman" w:hAnsi="仿宋" w:eastAsia="仿宋"/>
          <w:color w:val="auto"/>
          <w:spacing w:val="-6"/>
          <w:sz w:val="30"/>
          <w:szCs w:val="30"/>
        </w:rPr>
        <w:t>止</w:t>
      </w:r>
      <w:r>
        <w:rPr>
          <w:rFonts w:ascii="Times New Roman" w:hAnsi="仿宋" w:eastAsia="仿宋"/>
          <w:color w:val="auto"/>
          <w:sz w:val="30"/>
          <w:szCs w:val="30"/>
        </w:rPr>
        <w:t>。</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jc w:val="left"/>
        <w:textAlignment w:val="auto"/>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（二）预算控制价：34万元（按照公司2023年经营规模及业务量，并综合近三年的审计费用平均水平进行估计）。</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jc w:val="left"/>
        <w:textAlignment w:val="auto"/>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（三）2023年度财务报表及内部控制审计项目服务结束后，公司将对受聘会计师事务所的履职情况进行评估，并根据评估情况决定是否延续合同。</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jc w:val="left"/>
        <w:textAlignment w:val="auto"/>
        <w:rPr>
          <w:rFonts w:hint="default" w:ascii="Times New Roman" w:hAnsi="仿宋" w:eastAsia="仿宋"/>
          <w:b/>
          <w:bCs/>
          <w:color w:val="auto"/>
          <w:sz w:val="30"/>
          <w:szCs w:val="30"/>
          <w:lang w:val="en-US" w:eastAsia="zh-CN"/>
        </w:rPr>
      </w:pPr>
      <w:r>
        <w:rPr>
          <w:rFonts w:hint="eastAsia" w:ascii="Times New Roman" w:hAnsi="仿宋" w:eastAsia="仿宋"/>
          <w:color w:val="auto"/>
          <w:sz w:val="30"/>
          <w:szCs w:val="30"/>
          <w:lang w:val="en-US" w:eastAsia="zh-CN"/>
        </w:rPr>
        <w:t>（四）报价文件组成</w:t>
      </w:r>
      <w:r>
        <w:rPr>
          <w:rFonts w:hint="eastAsia" w:ascii="Times New Roman" w:hAnsi="仿宋" w:eastAsia="仿宋"/>
          <w:b/>
          <w:bCs/>
          <w:color w:val="auto"/>
          <w:sz w:val="30"/>
          <w:szCs w:val="30"/>
          <w:lang w:val="en-US" w:eastAsia="zh-CN"/>
        </w:rPr>
        <w:t>（以下文件必须提供，且均需加盖公章并标注页码）</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outlineLvl w:val="9"/>
        <w:rPr>
          <w:rFonts w:hint="eastAsia" w:ascii="Times New Roman" w:hAnsi="仿宋" w:eastAsia="仿宋"/>
          <w:color w:val="auto"/>
          <w:sz w:val="30"/>
          <w:szCs w:val="30"/>
          <w:lang w:eastAsia="zh-CN"/>
        </w:rPr>
      </w:pPr>
      <w:r>
        <w:rPr>
          <w:rFonts w:hint="eastAsia" w:ascii="Times New Roman" w:hAnsi="仿宋" w:eastAsia="仿宋"/>
          <w:color w:val="auto"/>
          <w:sz w:val="30"/>
          <w:szCs w:val="30"/>
          <w:lang w:eastAsia="zh-CN"/>
        </w:rPr>
        <w:t>目录</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outlineLvl w:val="9"/>
        <w:rPr>
          <w:rFonts w:hint="eastAsia" w:ascii="Times New Roman" w:hAnsi="仿宋" w:eastAsia="仿宋"/>
          <w:color w:val="auto"/>
          <w:sz w:val="30"/>
          <w:szCs w:val="30"/>
          <w:lang w:eastAsia="zh-CN"/>
        </w:rPr>
      </w:pPr>
      <w:r>
        <w:rPr>
          <w:rFonts w:hint="eastAsia" w:ascii="Times New Roman" w:hAnsi="仿宋" w:eastAsia="仿宋"/>
          <w:color w:val="auto"/>
          <w:sz w:val="30"/>
          <w:szCs w:val="30"/>
          <w:lang w:eastAsia="zh-CN"/>
        </w:rPr>
        <w:t>第一章、报价人简介；</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outlineLvl w:val="9"/>
        <w:rPr>
          <w:rFonts w:hint="eastAsia" w:ascii="Times New Roman" w:hAnsi="仿宋" w:eastAsia="仿宋"/>
          <w:color w:val="auto"/>
          <w:sz w:val="30"/>
          <w:szCs w:val="30"/>
          <w:lang w:eastAsia="zh-CN"/>
        </w:rPr>
      </w:pPr>
      <w:r>
        <w:rPr>
          <w:rFonts w:hint="eastAsia" w:ascii="Times New Roman" w:hAnsi="仿宋" w:eastAsia="仿宋"/>
          <w:color w:val="auto"/>
          <w:sz w:val="30"/>
          <w:szCs w:val="30"/>
          <w:lang w:eastAsia="zh-CN"/>
        </w:rPr>
        <w:t>第二章、</w:t>
      </w:r>
      <w:r>
        <w:rPr>
          <w:rFonts w:hint="eastAsia" w:ascii="Times New Roman" w:hAnsi="仿宋" w:eastAsia="仿宋"/>
          <w:color w:val="auto"/>
          <w:sz w:val="30"/>
          <w:szCs w:val="30"/>
        </w:rPr>
        <w:t>营业执照；</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lang w:eastAsia="zh-CN"/>
        </w:rPr>
        <w:t>第三章、</w:t>
      </w:r>
      <w:r>
        <w:rPr>
          <w:rFonts w:hint="eastAsia" w:ascii="Times New Roman" w:hAnsi="仿宋" w:eastAsia="仿宋"/>
          <w:color w:val="auto"/>
          <w:sz w:val="30"/>
          <w:szCs w:val="30"/>
        </w:rPr>
        <w:t>报价函（报</w:t>
      </w:r>
      <w:r>
        <w:rPr>
          <w:rFonts w:hint="eastAsia" w:ascii="Times New Roman" w:hAnsi="仿宋" w:eastAsia="仿宋"/>
          <w:color w:val="auto"/>
          <w:sz w:val="30"/>
          <w:szCs w:val="30"/>
          <w:lang w:eastAsia="zh-CN"/>
        </w:rPr>
        <w:t>包干</w:t>
      </w:r>
      <w:r>
        <w:rPr>
          <w:rFonts w:hint="eastAsia" w:ascii="Times New Roman" w:hAnsi="仿宋" w:eastAsia="仿宋"/>
          <w:color w:val="auto"/>
          <w:sz w:val="30"/>
          <w:szCs w:val="30"/>
        </w:rPr>
        <w:t>总价</w:t>
      </w:r>
      <w:r>
        <w:rPr>
          <w:rFonts w:hint="eastAsia" w:ascii="Times New Roman" w:hAnsi="仿宋" w:eastAsia="仿宋"/>
          <w:color w:val="auto"/>
          <w:sz w:val="30"/>
          <w:szCs w:val="30"/>
          <w:lang w:eastAsia="zh-CN"/>
        </w:rPr>
        <w:t>（</w:t>
      </w:r>
      <w:r>
        <w:rPr>
          <w:rFonts w:hint="eastAsia" w:ascii="Times New Roman" w:hAnsi="仿宋" w:eastAsia="仿宋"/>
          <w:color w:val="auto"/>
          <w:sz w:val="30"/>
          <w:szCs w:val="30"/>
          <w:lang w:val="en-US" w:eastAsia="zh-CN"/>
        </w:rPr>
        <w:t>含税，税率为</w:t>
      </w:r>
      <w:r>
        <w:rPr>
          <w:rFonts w:hint="eastAsia" w:ascii="Times New Roman" w:hAnsi="仿宋" w:eastAsia="仿宋"/>
          <w:color w:val="auto"/>
          <w:sz w:val="30"/>
          <w:szCs w:val="30"/>
          <w:u w:val="single"/>
          <w:lang w:val="en-US" w:eastAsia="zh-CN"/>
        </w:rPr>
        <w:t xml:space="preserve">  </w:t>
      </w:r>
      <w:r>
        <w:rPr>
          <w:rFonts w:hint="eastAsia" w:ascii="Times New Roman" w:hAnsi="仿宋" w:eastAsia="仿宋"/>
          <w:color w:val="auto"/>
          <w:sz w:val="30"/>
          <w:szCs w:val="30"/>
          <w:lang w:val="en-US" w:eastAsia="zh-CN"/>
        </w:rPr>
        <w:t>%）</w:t>
      </w:r>
      <w:r>
        <w:rPr>
          <w:rFonts w:hint="eastAsia" w:ascii="Times New Roman" w:hAnsi="仿宋" w:eastAsia="仿宋"/>
          <w:color w:val="auto"/>
          <w:sz w:val="30"/>
          <w:szCs w:val="30"/>
        </w:rPr>
        <w:t>，并附报价单位联系人及联系方式</w:t>
      </w:r>
      <w:r>
        <w:rPr>
          <w:rFonts w:hint="eastAsia" w:ascii="Times New Roman" w:hAnsi="仿宋" w:eastAsia="仿宋"/>
          <w:color w:val="auto"/>
          <w:sz w:val="30"/>
          <w:szCs w:val="30"/>
          <w:lang w:eastAsia="zh-CN"/>
        </w:rPr>
        <w:t>、</w:t>
      </w:r>
      <w:r>
        <w:rPr>
          <w:rFonts w:hint="eastAsia" w:ascii="Times New Roman" w:hAnsi="仿宋" w:eastAsia="仿宋"/>
          <w:color w:val="auto"/>
          <w:sz w:val="30"/>
          <w:szCs w:val="30"/>
          <w:lang w:val="en-US" w:eastAsia="zh-CN"/>
        </w:rPr>
        <w:t>报价单位开户银行及账号等</w:t>
      </w:r>
      <w:r>
        <w:rPr>
          <w:rFonts w:hint="eastAsia" w:ascii="Times New Roman" w:hAnsi="仿宋" w:eastAsia="仿宋"/>
          <w:color w:val="auto"/>
          <w:sz w:val="30"/>
          <w:szCs w:val="30"/>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outlineLvl w:val="9"/>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eastAsia="zh-CN"/>
        </w:rPr>
        <w:t>第四章、</w:t>
      </w:r>
      <w:r>
        <w:rPr>
          <w:rFonts w:hint="eastAsia" w:ascii="Times New Roman" w:hAnsi="仿宋" w:eastAsia="仿宋"/>
          <w:color w:val="auto"/>
          <w:sz w:val="30"/>
          <w:szCs w:val="30"/>
          <w:lang w:val="en-US" w:eastAsia="zh-CN"/>
        </w:rPr>
        <w:t>事务所</w:t>
      </w:r>
      <w:r>
        <w:rPr>
          <w:rFonts w:hint="eastAsia" w:ascii="Times New Roman" w:hAnsi="仿宋" w:eastAsia="仿宋"/>
          <w:color w:val="auto"/>
          <w:sz w:val="30"/>
          <w:szCs w:val="30"/>
          <w:lang w:eastAsia="zh-CN"/>
        </w:rPr>
        <w:t>近三年已完成类似项目一览表（须附合同或中标通知书</w:t>
      </w:r>
      <w:r>
        <w:rPr>
          <w:rFonts w:hint="eastAsia" w:ascii="Times New Roman" w:hAnsi="仿宋" w:eastAsia="仿宋"/>
          <w:color w:val="auto"/>
          <w:sz w:val="30"/>
          <w:szCs w:val="30"/>
          <w:lang w:val="en-US" w:eastAsia="zh-CN"/>
        </w:rPr>
        <w:t>扫描件</w:t>
      </w:r>
      <w:r>
        <w:rPr>
          <w:rFonts w:hint="eastAsia" w:ascii="Times New Roman" w:hAnsi="仿宋" w:eastAsia="仿宋"/>
          <w:color w:val="auto"/>
          <w:sz w:val="30"/>
          <w:szCs w:val="30"/>
          <w:lang w:eastAsia="zh-CN"/>
        </w:rPr>
        <w:t>），</w:t>
      </w:r>
      <w:r>
        <w:rPr>
          <w:rFonts w:hint="eastAsia" w:ascii="Times New Roman" w:hAnsi="仿宋" w:eastAsia="仿宋"/>
          <w:color w:val="auto"/>
          <w:sz w:val="30"/>
          <w:szCs w:val="30"/>
          <w:highlight w:val="none"/>
          <w:lang w:val="en-US" w:eastAsia="zh-CN"/>
        </w:rPr>
        <w:t>及近三年鉴证业务收入情况统计表；</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outlineLvl w:val="9"/>
        <w:rPr>
          <w:rFonts w:hint="eastAsia" w:ascii="Times New Roman" w:hAnsi="仿宋" w:eastAsia="仿宋"/>
          <w:color w:val="auto"/>
          <w:sz w:val="30"/>
          <w:szCs w:val="30"/>
          <w:lang w:eastAsia="zh-CN"/>
        </w:rPr>
      </w:pPr>
      <w:r>
        <w:rPr>
          <w:rFonts w:hint="eastAsia" w:ascii="Times New Roman" w:hAnsi="仿宋" w:eastAsia="仿宋"/>
          <w:color w:val="auto"/>
          <w:sz w:val="30"/>
          <w:szCs w:val="30"/>
          <w:lang w:eastAsia="zh-CN"/>
        </w:rPr>
        <w:t>第五章、服务方案</w:t>
      </w:r>
      <w:r>
        <w:rPr>
          <w:rFonts w:hint="eastAsia" w:ascii="Times New Roman" w:hAnsi="仿宋" w:eastAsia="仿宋"/>
          <w:color w:val="auto"/>
          <w:sz w:val="30"/>
          <w:szCs w:val="30"/>
          <w:highlight w:val="none"/>
          <w:lang w:eastAsia="zh-CN"/>
        </w:rPr>
        <w:t>（</w:t>
      </w:r>
      <w:r>
        <w:rPr>
          <w:rFonts w:hint="eastAsia" w:ascii="Times New Roman" w:hAnsi="仿宋" w:eastAsia="仿宋"/>
          <w:color w:val="auto"/>
          <w:sz w:val="30"/>
          <w:szCs w:val="30"/>
          <w:highlight w:val="none"/>
          <w:lang w:val="en-US" w:eastAsia="zh-CN"/>
        </w:rPr>
        <w:t>至少</w:t>
      </w:r>
      <w:r>
        <w:rPr>
          <w:rFonts w:hint="eastAsia" w:ascii="Times New Roman" w:hAnsi="仿宋" w:eastAsia="仿宋"/>
          <w:color w:val="auto"/>
          <w:sz w:val="30"/>
          <w:szCs w:val="30"/>
          <w:lang w:eastAsia="zh-CN"/>
        </w:rPr>
        <w:t>包括服务工作组织计划、</w:t>
      </w:r>
      <w:r>
        <w:rPr>
          <w:rFonts w:hint="eastAsia" w:ascii="Times New Roman" w:hAnsi="仿宋" w:eastAsia="仿宋"/>
          <w:color w:val="auto"/>
          <w:sz w:val="30"/>
          <w:szCs w:val="30"/>
          <w:lang w:val="en-US" w:eastAsia="zh-CN"/>
        </w:rPr>
        <w:t>服务承诺、服务质量管理</w:t>
      </w:r>
      <w:r>
        <w:rPr>
          <w:rFonts w:hint="eastAsia" w:ascii="Times New Roman" w:hAnsi="仿宋" w:eastAsia="仿宋"/>
          <w:color w:val="auto"/>
          <w:sz w:val="30"/>
          <w:szCs w:val="30"/>
          <w:lang w:eastAsia="zh-CN"/>
        </w:rPr>
        <w:t>、</w:t>
      </w:r>
      <w:r>
        <w:rPr>
          <w:rFonts w:hint="eastAsia" w:ascii="Times New Roman" w:hAnsi="仿宋" w:eastAsia="仿宋"/>
          <w:color w:val="auto"/>
          <w:sz w:val="30"/>
          <w:szCs w:val="30"/>
          <w:lang w:val="en-US" w:eastAsia="zh-CN"/>
        </w:rPr>
        <w:t>信息安全管理、风险承担能力管理</w:t>
      </w:r>
      <w:r>
        <w:rPr>
          <w:rFonts w:hint="eastAsia" w:ascii="Times New Roman" w:hAnsi="仿宋" w:eastAsia="仿宋"/>
          <w:color w:val="auto"/>
          <w:sz w:val="30"/>
          <w:szCs w:val="30"/>
          <w:lang w:eastAsia="zh-CN"/>
        </w:rPr>
        <w:t>等</w:t>
      </w:r>
      <w:r>
        <w:rPr>
          <w:rFonts w:hint="eastAsia" w:ascii="Times New Roman" w:hAnsi="仿宋" w:eastAsia="仿宋"/>
          <w:color w:val="auto"/>
          <w:sz w:val="30"/>
          <w:szCs w:val="30"/>
          <w:lang w:val="en-US" w:eastAsia="zh-CN"/>
        </w:rPr>
        <w:t>方面。并免费提供合同期内可能存在的会计、税务等事项的零星咨询服务</w:t>
      </w:r>
      <w:r>
        <w:rPr>
          <w:rFonts w:hint="eastAsia" w:ascii="Times New Roman" w:hAnsi="仿宋" w:eastAsia="仿宋"/>
          <w:color w:val="auto"/>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jc w:val="left"/>
        <w:textAlignment w:val="auto"/>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eastAsia="zh-CN"/>
        </w:rPr>
        <w:t>第六章、拟投入本项目人员情况</w:t>
      </w:r>
      <w:r>
        <w:rPr>
          <w:rFonts w:hint="default" w:ascii="Times New Roman" w:hAnsi="仿宋" w:eastAsia="仿宋"/>
          <w:color w:val="auto"/>
          <w:sz w:val="30"/>
          <w:szCs w:val="30"/>
          <w:lang w:eastAsia="zh-CN"/>
        </w:rPr>
        <w:t>（</w:t>
      </w:r>
      <w:r>
        <w:rPr>
          <w:rFonts w:hint="default" w:ascii="Times New Roman" w:hAnsi="仿宋" w:eastAsia="仿宋"/>
          <w:color w:val="auto"/>
          <w:sz w:val="30"/>
          <w:szCs w:val="30"/>
          <w:lang w:val="en-US" w:eastAsia="zh-CN"/>
        </w:rPr>
        <w:t>拟投入不少于</w:t>
      </w:r>
      <w:r>
        <w:rPr>
          <w:rFonts w:hint="eastAsia" w:ascii="Times New Roman" w:hAnsi="仿宋" w:eastAsia="仿宋"/>
          <w:color w:val="auto"/>
          <w:sz w:val="30"/>
          <w:szCs w:val="30"/>
          <w:lang w:val="en-US" w:eastAsia="zh-CN"/>
        </w:rPr>
        <w:t>6</w:t>
      </w:r>
      <w:r>
        <w:rPr>
          <w:rFonts w:hint="default" w:ascii="Times New Roman" w:hAnsi="仿宋" w:eastAsia="仿宋"/>
          <w:color w:val="auto"/>
          <w:sz w:val="30"/>
          <w:szCs w:val="30"/>
          <w:lang w:val="en-US" w:eastAsia="zh-CN"/>
        </w:rPr>
        <w:t>名具备专业资质和专业能力的审计人员，其中至少</w:t>
      </w:r>
      <w:r>
        <w:rPr>
          <w:rFonts w:hint="eastAsia" w:ascii="Times New Roman" w:hAnsi="仿宋" w:eastAsia="仿宋"/>
          <w:color w:val="auto"/>
          <w:sz w:val="30"/>
          <w:szCs w:val="30"/>
          <w:lang w:val="en-US" w:eastAsia="zh-CN"/>
        </w:rPr>
        <w:t>2</w:t>
      </w:r>
      <w:r>
        <w:rPr>
          <w:rFonts w:hint="default" w:ascii="Times New Roman" w:hAnsi="仿宋" w:eastAsia="仿宋"/>
          <w:color w:val="auto"/>
          <w:sz w:val="30"/>
          <w:szCs w:val="30"/>
          <w:lang w:val="en-US" w:eastAsia="zh-CN"/>
        </w:rPr>
        <w:t>名持有效的中国注册会计师证书。</w:t>
      </w:r>
      <w:r>
        <w:rPr>
          <w:rFonts w:hint="eastAsia" w:ascii="Times New Roman" w:hAnsi="仿宋" w:eastAsia="仿宋"/>
          <w:color w:val="auto"/>
          <w:sz w:val="30"/>
          <w:szCs w:val="30"/>
          <w:lang w:eastAsia="zh-CN"/>
        </w:rPr>
        <w:t>须附人员相关证书及近</w:t>
      </w:r>
      <w:r>
        <w:rPr>
          <w:rFonts w:hint="eastAsia" w:ascii="Times New Roman" w:hAnsi="仿宋" w:eastAsia="仿宋"/>
          <w:color w:val="auto"/>
          <w:sz w:val="30"/>
          <w:szCs w:val="30"/>
          <w:lang w:val="en-US" w:eastAsia="zh-CN"/>
        </w:rPr>
        <w:t>6个月</w:t>
      </w:r>
      <w:r>
        <w:rPr>
          <w:rFonts w:hint="eastAsia" w:ascii="Times New Roman" w:hAnsi="仿宋" w:eastAsia="仿宋"/>
          <w:color w:val="auto"/>
          <w:sz w:val="30"/>
          <w:szCs w:val="30"/>
          <w:lang w:eastAsia="zh-CN"/>
        </w:rPr>
        <w:t>社保缴纳证明）。</w:t>
      </w:r>
    </w:p>
    <w:p>
      <w:pPr>
        <w:keepNext w:val="0"/>
        <w:keepLines w:val="0"/>
        <w:pageBreakBefore w:val="0"/>
        <w:widowControl w:val="0"/>
        <w:kinsoku/>
        <w:wordWrap/>
        <w:overflowPunct/>
        <w:topLinePunct w:val="0"/>
        <w:autoSpaceDE/>
        <w:autoSpaceDN/>
        <w:bidi w:val="0"/>
        <w:adjustRightInd w:val="0"/>
        <w:snapToGrid w:val="0"/>
        <w:spacing w:before="81" w:beforeLines="25" w:afterLines="0" w:line="500" w:lineRule="exact"/>
        <w:ind w:firstLine="600" w:firstLineChars="200"/>
        <w:textAlignment w:val="auto"/>
        <w:rPr>
          <w:rFonts w:hint="default" w:ascii="黑体" w:hAnsi="黑体" w:eastAsia="黑体"/>
          <w:color w:val="auto"/>
          <w:sz w:val="30"/>
          <w:szCs w:val="30"/>
          <w:lang w:val="en-US" w:eastAsia="zh-CN"/>
        </w:rPr>
      </w:pPr>
      <w:r>
        <w:rPr>
          <w:rFonts w:hint="eastAsia" w:ascii="黑体" w:hAnsi="黑体" w:eastAsia="黑体"/>
          <w:color w:val="auto"/>
          <w:sz w:val="30"/>
          <w:szCs w:val="30"/>
          <w:lang w:val="en-US" w:eastAsia="zh-CN"/>
        </w:rPr>
        <w:t>六</w:t>
      </w:r>
      <w:r>
        <w:rPr>
          <w:rFonts w:ascii="黑体" w:hAnsi="黑体" w:eastAsia="黑体"/>
          <w:color w:val="auto"/>
          <w:sz w:val="30"/>
          <w:szCs w:val="30"/>
        </w:rPr>
        <w:t>、</w:t>
      </w:r>
      <w:r>
        <w:rPr>
          <w:rFonts w:hint="eastAsia" w:ascii="黑体" w:hAnsi="黑体" w:eastAsia="黑体"/>
          <w:color w:val="auto"/>
          <w:sz w:val="30"/>
          <w:szCs w:val="30"/>
          <w:lang w:val="en-US" w:eastAsia="zh-CN"/>
        </w:rPr>
        <w:t>报价文件报送方式及要求</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jc w:val="left"/>
        <w:textAlignment w:val="auto"/>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报价方式为纸质文件报价，具体要求如下：</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jc w:val="left"/>
        <w:textAlignment w:val="auto"/>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报价文件数量：1正5副（报价文件要求密封于文件袋内）。</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jc w:val="left"/>
        <w:textAlignment w:val="auto"/>
        <w:rPr>
          <w:rFonts w:hint="eastAsia"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可选择邮寄或现场递交方式报送（如采用邮寄方式，须通过EMS或顺丰速运邮寄，送达时间不得晚于公告截止时间）。邮寄或送达地址：广西钦州市中马产业园区友谊大道88号中马广场5号写字楼19层。</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jc w:val="left"/>
        <w:textAlignment w:val="auto"/>
        <w:rPr>
          <w:rFonts w:hint="default" w:ascii="Times New Roman" w:hAnsi="仿宋" w:eastAsia="仿宋"/>
          <w:color w:val="auto"/>
          <w:sz w:val="30"/>
          <w:szCs w:val="30"/>
          <w:lang w:val="en-US" w:eastAsia="zh-CN"/>
        </w:rPr>
      </w:pPr>
      <w:r>
        <w:rPr>
          <w:rFonts w:hint="eastAsia" w:ascii="Times New Roman" w:hAnsi="仿宋" w:eastAsia="仿宋"/>
          <w:color w:val="auto"/>
          <w:sz w:val="30"/>
          <w:szCs w:val="30"/>
          <w:lang w:val="en-US" w:eastAsia="zh-CN"/>
        </w:rPr>
        <w:t>联系人电话：吴雪凝，0777-5988992，15807707776。</w:t>
      </w:r>
    </w:p>
    <w:p>
      <w:pPr>
        <w:keepNext w:val="0"/>
        <w:keepLines w:val="0"/>
        <w:pageBreakBefore w:val="0"/>
        <w:widowControl w:val="0"/>
        <w:kinsoku/>
        <w:wordWrap/>
        <w:overflowPunct/>
        <w:topLinePunct w:val="0"/>
        <w:autoSpaceDE/>
        <w:autoSpaceDN/>
        <w:bidi w:val="0"/>
        <w:adjustRightInd w:val="0"/>
        <w:snapToGrid w:val="0"/>
        <w:spacing w:before="81" w:beforeLines="25" w:afterLines="0" w:line="500" w:lineRule="exact"/>
        <w:ind w:firstLine="600" w:firstLineChars="200"/>
        <w:textAlignment w:val="auto"/>
        <w:rPr>
          <w:rFonts w:ascii="黑体" w:hAnsi="黑体" w:eastAsia="黑体"/>
          <w:color w:val="auto"/>
          <w:sz w:val="30"/>
          <w:szCs w:val="30"/>
        </w:rPr>
      </w:pPr>
      <w:r>
        <w:rPr>
          <w:rFonts w:hint="eastAsia" w:ascii="Times New Roman" w:hAnsi="Times New Roman" w:eastAsia="黑体"/>
          <w:color w:val="auto"/>
          <w:sz w:val="30"/>
          <w:szCs w:val="30"/>
          <w:lang w:val="en-US" w:eastAsia="zh-CN"/>
        </w:rPr>
        <w:t>七</w:t>
      </w:r>
      <w:r>
        <w:rPr>
          <w:rFonts w:ascii="黑体" w:hAnsi="黑体" w:eastAsia="黑体"/>
          <w:color w:val="auto"/>
          <w:sz w:val="30"/>
          <w:szCs w:val="30"/>
        </w:rPr>
        <w:t>、评审规则</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textAlignment w:val="auto"/>
        <w:rPr>
          <w:rFonts w:ascii="Times New Roman" w:hAnsi="Times New Roman" w:eastAsia="仿宋"/>
          <w:color w:val="auto"/>
          <w:sz w:val="30"/>
          <w:szCs w:val="30"/>
        </w:rPr>
      </w:pPr>
      <w:r>
        <w:rPr>
          <w:rFonts w:ascii="Times New Roman" w:hAnsi="仿宋" w:eastAsia="仿宋"/>
          <w:color w:val="auto"/>
          <w:sz w:val="30"/>
          <w:szCs w:val="30"/>
        </w:rPr>
        <w:t>（一）我公司将结合报价单位的资质条件、</w:t>
      </w:r>
      <w:r>
        <w:rPr>
          <w:rFonts w:hint="eastAsia" w:ascii="Times New Roman" w:hAnsi="仿宋" w:eastAsia="仿宋"/>
          <w:color w:val="auto"/>
          <w:sz w:val="30"/>
          <w:szCs w:val="30"/>
          <w:lang w:val="en-US" w:eastAsia="zh-CN"/>
        </w:rPr>
        <w:t>审计费用报价、</w:t>
      </w:r>
      <w:r>
        <w:rPr>
          <w:rFonts w:ascii="Times New Roman" w:hAnsi="仿宋" w:eastAsia="仿宋"/>
          <w:color w:val="auto"/>
          <w:sz w:val="30"/>
          <w:szCs w:val="30"/>
        </w:rPr>
        <w:t>业绩</w:t>
      </w:r>
      <w:r>
        <w:rPr>
          <w:rFonts w:hint="eastAsia" w:ascii="Times New Roman" w:hAnsi="仿宋" w:eastAsia="仿宋"/>
          <w:color w:val="auto"/>
          <w:sz w:val="30"/>
          <w:szCs w:val="30"/>
          <w:lang w:eastAsia="zh-CN"/>
        </w:rPr>
        <w:t>、</w:t>
      </w:r>
      <w:r>
        <w:rPr>
          <w:rFonts w:hint="eastAsia" w:ascii="Times New Roman" w:hAnsi="仿宋" w:eastAsia="仿宋"/>
          <w:color w:val="auto"/>
          <w:sz w:val="30"/>
          <w:szCs w:val="30"/>
          <w:lang w:val="en-US" w:eastAsia="zh-CN"/>
        </w:rPr>
        <w:t>工作组织、质量管理水平、人力及其他资源配备、信息安全管理、风险承担能力水平等</w:t>
      </w:r>
      <w:r>
        <w:rPr>
          <w:rFonts w:ascii="Times New Roman" w:hAnsi="仿宋" w:eastAsia="仿宋"/>
          <w:color w:val="auto"/>
          <w:sz w:val="30"/>
          <w:szCs w:val="30"/>
        </w:rPr>
        <w:t>因素，综合择优选定本项目的中选单位。</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textAlignment w:val="auto"/>
        <w:rPr>
          <w:rFonts w:ascii="Times New Roman" w:hAnsi="Times New Roman" w:eastAsia="仿宋"/>
          <w:color w:val="auto"/>
          <w:sz w:val="30"/>
          <w:szCs w:val="30"/>
        </w:rPr>
      </w:pPr>
      <w:r>
        <w:rPr>
          <w:rFonts w:ascii="Times New Roman" w:hAnsi="仿宋" w:eastAsia="仿宋"/>
          <w:color w:val="auto"/>
          <w:sz w:val="30"/>
          <w:szCs w:val="30"/>
        </w:rPr>
        <w:t>（二）如出现下列情况之一，报价文件作无效处理</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right="0" w:rightChars="0" w:firstLine="600" w:firstLineChars="200"/>
        <w:jc w:val="both"/>
        <w:textAlignment w:val="auto"/>
        <w:outlineLvl w:val="9"/>
        <w:rPr>
          <w:rFonts w:ascii="Times New Roman" w:hAnsi="Times New Roman" w:eastAsia="仿宋"/>
          <w:color w:val="auto"/>
          <w:sz w:val="30"/>
          <w:szCs w:val="30"/>
        </w:rPr>
      </w:pPr>
      <w:r>
        <w:rPr>
          <w:rFonts w:ascii="Times New Roman" w:hAnsi="Times New Roman" w:eastAsia="仿宋"/>
          <w:color w:val="auto"/>
          <w:sz w:val="30"/>
          <w:szCs w:val="30"/>
        </w:rPr>
        <w:t>    </w:t>
      </w:r>
      <w:r>
        <w:rPr>
          <w:rFonts w:hint="eastAsia" w:ascii="Times New Roman" w:hAnsi="Times New Roman" w:eastAsia="仿宋"/>
          <w:color w:val="auto"/>
          <w:sz w:val="30"/>
          <w:szCs w:val="30"/>
          <w:lang w:val="en-US" w:eastAsia="zh-CN"/>
        </w:rPr>
        <w:t>1</w:t>
      </w:r>
      <w:r>
        <w:rPr>
          <w:rFonts w:ascii="Times New Roman" w:hAnsi="Times New Roman" w:eastAsia="仿宋"/>
          <w:color w:val="auto"/>
          <w:sz w:val="30"/>
          <w:szCs w:val="30"/>
        </w:rPr>
        <w:t>.</w:t>
      </w:r>
      <w:r>
        <w:rPr>
          <w:rFonts w:ascii="Times New Roman" w:hAnsi="仿宋" w:eastAsia="仿宋"/>
          <w:color w:val="auto"/>
          <w:sz w:val="30"/>
          <w:szCs w:val="30"/>
        </w:rPr>
        <w:t>不响应比选文件实质性要求；</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right="0" w:rightChars="0" w:firstLine="900" w:firstLineChars="300"/>
        <w:jc w:val="both"/>
        <w:textAlignment w:val="auto"/>
        <w:outlineLvl w:val="9"/>
        <w:rPr>
          <w:rFonts w:ascii="Times New Roman" w:hAnsi="仿宋" w:eastAsia="仿宋"/>
          <w:color w:val="auto"/>
          <w:sz w:val="30"/>
          <w:szCs w:val="30"/>
        </w:rPr>
      </w:pPr>
      <w:r>
        <w:rPr>
          <w:rFonts w:hint="eastAsia" w:ascii="Times New Roman" w:hAnsi="Times New Roman" w:eastAsia="仿宋"/>
          <w:color w:val="auto"/>
          <w:sz w:val="30"/>
          <w:szCs w:val="30"/>
          <w:lang w:val="en-US" w:eastAsia="zh-CN"/>
        </w:rPr>
        <w:t>2</w:t>
      </w:r>
      <w:r>
        <w:rPr>
          <w:rFonts w:ascii="Times New Roman" w:hAnsi="Times New Roman" w:eastAsia="仿宋"/>
          <w:color w:val="auto"/>
          <w:sz w:val="30"/>
          <w:szCs w:val="30"/>
        </w:rPr>
        <w:t>.</w:t>
      </w:r>
      <w:r>
        <w:rPr>
          <w:rFonts w:ascii="Times New Roman" w:hAnsi="仿宋" w:eastAsia="仿宋"/>
          <w:color w:val="auto"/>
          <w:sz w:val="30"/>
          <w:szCs w:val="30"/>
        </w:rPr>
        <w:t>出现两个或两个以上报价；</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right="0" w:rightChars="0" w:firstLine="900" w:firstLineChars="300"/>
        <w:jc w:val="both"/>
        <w:textAlignment w:val="auto"/>
        <w:outlineLvl w:val="9"/>
        <w:rPr>
          <w:rFonts w:hint="eastAsia" w:ascii="Times New Roman" w:hAnsi="仿宋" w:eastAsia="仿宋"/>
          <w:color w:val="auto"/>
          <w:sz w:val="30"/>
          <w:szCs w:val="30"/>
        </w:rPr>
      </w:pPr>
      <w:r>
        <w:rPr>
          <w:rFonts w:hint="eastAsia" w:ascii="Times New Roman" w:hAnsi="Times New Roman" w:eastAsia="仿宋"/>
          <w:color w:val="auto"/>
          <w:sz w:val="30"/>
          <w:szCs w:val="30"/>
        </w:rPr>
        <w:t>3</w:t>
      </w:r>
      <w:r>
        <w:rPr>
          <w:rFonts w:ascii="Times New Roman" w:hAnsi="Times New Roman" w:eastAsia="仿宋"/>
          <w:color w:val="auto"/>
          <w:sz w:val="30"/>
          <w:szCs w:val="30"/>
        </w:rPr>
        <w:t>.</w:t>
      </w:r>
      <w:r>
        <w:rPr>
          <w:rFonts w:ascii="Times New Roman" w:hAnsi="仿宋" w:eastAsia="仿宋"/>
          <w:color w:val="auto"/>
          <w:sz w:val="30"/>
          <w:szCs w:val="30"/>
        </w:rPr>
        <w:t>报价超出预算控制价的</w:t>
      </w:r>
      <w:r>
        <w:rPr>
          <w:rFonts w:hint="eastAsia" w:ascii="Times New Roman" w:hAnsi="仿宋" w:eastAsia="仿宋"/>
          <w:color w:val="auto"/>
          <w:sz w:val="30"/>
          <w:szCs w:val="30"/>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lang w:val="en-US" w:eastAsia="zh-CN"/>
        </w:rPr>
        <w:t>4</w:t>
      </w:r>
      <w:r>
        <w:rPr>
          <w:rFonts w:hint="eastAsia" w:ascii="Times New Roman" w:hAnsi="仿宋" w:eastAsia="仿宋"/>
          <w:color w:val="auto"/>
          <w:sz w:val="30"/>
          <w:szCs w:val="30"/>
        </w:rPr>
        <w:t>.报价文件</w:t>
      </w:r>
      <w:r>
        <w:rPr>
          <w:rFonts w:hint="eastAsia" w:ascii="Times New Roman" w:hAnsi="仿宋" w:eastAsia="仿宋"/>
          <w:color w:val="auto"/>
          <w:sz w:val="30"/>
          <w:szCs w:val="30"/>
          <w:lang w:eastAsia="zh-CN"/>
        </w:rPr>
        <w:t>报送</w:t>
      </w:r>
      <w:r>
        <w:rPr>
          <w:rFonts w:hint="eastAsia" w:ascii="Times New Roman" w:hAnsi="仿宋" w:eastAsia="仿宋"/>
          <w:color w:val="auto"/>
          <w:sz w:val="30"/>
          <w:szCs w:val="30"/>
        </w:rPr>
        <w:t>时间已超过规定截止时间；</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lang w:val="en-US" w:eastAsia="zh-CN"/>
        </w:rPr>
        <w:t>5</w:t>
      </w:r>
      <w:r>
        <w:rPr>
          <w:rFonts w:hint="eastAsia" w:ascii="Times New Roman" w:hAnsi="仿宋" w:eastAsia="仿宋"/>
          <w:color w:val="auto"/>
          <w:sz w:val="30"/>
          <w:szCs w:val="30"/>
        </w:rPr>
        <w:t>.</w:t>
      </w:r>
      <w:r>
        <w:rPr>
          <w:rFonts w:hint="eastAsia" w:ascii="Times New Roman" w:hAnsi="仿宋" w:eastAsia="仿宋"/>
          <w:color w:val="auto"/>
          <w:sz w:val="30"/>
          <w:szCs w:val="30"/>
          <w:lang w:eastAsia="zh-CN"/>
        </w:rPr>
        <w:t>纸质版</w:t>
      </w:r>
      <w:r>
        <w:rPr>
          <w:rFonts w:hint="eastAsia" w:ascii="Times New Roman" w:hAnsi="仿宋" w:eastAsia="仿宋"/>
          <w:color w:val="auto"/>
          <w:sz w:val="30"/>
          <w:szCs w:val="30"/>
        </w:rPr>
        <w:t>报价文件未按要求密封；</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lang w:val="en-US" w:eastAsia="zh-CN"/>
        </w:rPr>
        <w:t>6</w:t>
      </w:r>
      <w:r>
        <w:rPr>
          <w:rFonts w:hint="eastAsia" w:ascii="Times New Roman" w:hAnsi="仿宋" w:eastAsia="仿宋"/>
          <w:color w:val="auto"/>
          <w:sz w:val="30"/>
          <w:szCs w:val="30"/>
        </w:rPr>
        <w:t>.报价</w:t>
      </w:r>
      <w:r>
        <w:rPr>
          <w:rFonts w:hint="eastAsia" w:ascii="Times New Roman" w:hAnsi="仿宋" w:eastAsia="仿宋"/>
          <w:color w:val="auto"/>
          <w:sz w:val="30"/>
          <w:szCs w:val="30"/>
          <w:lang w:eastAsia="zh-CN"/>
        </w:rPr>
        <w:t>文件资料未加盖公司公章</w:t>
      </w:r>
      <w:r>
        <w:rPr>
          <w:rFonts w:hint="eastAsia" w:ascii="Times New Roman" w:hAnsi="仿宋" w:eastAsia="仿宋"/>
          <w:color w:val="auto"/>
          <w:sz w:val="30"/>
          <w:szCs w:val="30"/>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lang w:eastAsia="zh-CN"/>
        </w:rPr>
      </w:pPr>
      <w:r>
        <w:rPr>
          <w:rFonts w:hint="eastAsia" w:ascii="Times New Roman" w:hAnsi="仿宋" w:eastAsia="仿宋"/>
          <w:color w:val="auto"/>
          <w:sz w:val="30"/>
          <w:szCs w:val="30"/>
          <w:lang w:val="en-US" w:eastAsia="zh-CN"/>
        </w:rPr>
        <w:t>7</w:t>
      </w:r>
      <w:r>
        <w:rPr>
          <w:rFonts w:hint="eastAsia" w:ascii="Times New Roman" w:hAnsi="仿宋" w:eastAsia="仿宋"/>
          <w:color w:val="auto"/>
          <w:sz w:val="30"/>
          <w:szCs w:val="30"/>
        </w:rPr>
        <w:t>.</w:t>
      </w:r>
      <w:r>
        <w:rPr>
          <w:rFonts w:hint="eastAsia" w:ascii="Times New Roman" w:hAnsi="仿宋" w:eastAsia="仿宋" w:cs="Times New Roman"/>
          <w:color w:val="auto"/>
          <w:sz w:val="30"/>
          <w:szCs w:val="30"/>
          <w:lang w:bidi="ar"/>
        </w:rPr>
        <w:t>资格证明文件不全或不符合比选要求，或</w:t>
      </w:r>
      <w:r>
        <w:rPr>
          <w:rFonts w:hint="eastAsia" w:ascii="Times New Roman" w:hAnsi="仿宋" w:eastAsia="仿宋"/>
          <w:color w:val="auto"/>
          <w:sz w:val="30"/>
          <w:szCs w:val="30"/>
        </w:rPr>
        <w:t>超出经营范围报价的；</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lang w:val="en-US" w:eastAsia="zh-CN"/>
        </w:rPr>
        <w:t>8.存在其他不符合比选文件要求的行为</w:t>
      </w:r>
      <w:r>
        <w:rPr>
          <w:rFonts w:hint="eastAsia" w:ascii="Times New Roman" w:hAnsi="仿宋" w:eastAsia="仿宋"/>
          <w:color w:val="auto"/>
          <w:sz w:val="30"/>
          <w:szCs w:val="30"/>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rPr>
        <w:t>（三）如出现下列情况之一，报价文件作无效处理，同时列入我公司黑名单。</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rPr>
        <w:t>1.不同报价人的报价文件由同一单位或者个人编制；</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rPr>
        <w:t>2.不同报价人委托同一单位或者个人办理报价相关事宜；</w:t>
      </w:r>
    </w:p>
    <w:p>
      <w:pPr>
        <w:keepNext w:val="0"/>
        <w:keepLines w:val="0"/>
        <w:pageBreakBefore w:val="0"/>
        <w:widowControl/>
        <w:kinsoku/>
        <w:wordWrap/>
        <w:overflowPunct/>
        <w:topLinePunct w:val="0"/>
        <w:autoSpaceDE/>
        <w:autoSpaceDN/>
        <w:bidi w:val="0"/>
        <w:adjustRightInd/>
        <w:snapToGrid/>
        <w:spacing w:line="500" w:lineRule="exact"/>
        <w:ind w:firstLine="900" w:firstLineChars="300"/>
        <w:textAlignment w:val="auto"/>
        <w:rPr>
          <w:rFonts w:hint="eastAsia" w:ascii="Times New Roman" w:hAnsi="仿宋" w:eastAsia="仿宋"/>
          <w:color w:val="auto"/>
          <w:sz w:val="30"/>
          <w:szCs w:val="30"/>
        </w:rPr>
      </w:pPr>
      <w:r>
        <w:rPr>
          <w:rFonts w:hint="eastAsia" w:ascii="Times New Roman" w:hAnsi="仿宋" w:eastAsia="仿宋"/>
          <w:color w:val="auto"/>
          <w:sz w:val="30"/>
          <w:szCs w:val="30"/>
        </w:rPr>
        <w:t>3.</w:t>
      </w:r>
      <w:r>
        <w:rPr>
          <w:rFonts w:hint="eastAsia" w:ascii="仿宋" w:hAnsi="仿宋" w:eastAsia="仿宋" w:cs="仿宋"/>
          <w:color w:val="auto"/>
          <w:sz w:val="32"/>
          <w:szCs w:val="32"/>
          <w:lang w:val="en-US" w:eastAsia="zh-CN"/>
        </w:rPr>
        <w:t>不同报价人的报价文件异常一致或者报价呈规律性差异（报价文件异常一致是指极小概率或者完全不可能一致的内容在不同报价文件中出现，比如大面积内容完全雷同、内容错误或打印错误雷同、三处以上内容表述及版面格式完全一致等，需足够的证据证明）；</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rPr>
        <w:t>4.不同报价人的报价文件相互混装；</w:t>
      </w:r>
    </w:p>
    <w:p>
      <w:pPr>
        <w:keepNext w:val="0"/>
        <w:keepLines w:val="0"/>
        <w:pageBreakBefore w:val="0"/>
        <w:widowControl w:val="0"/>
        <w:kinsoku/>
        <w:wordWrap/>
        <w:overflowPunct/>
        <w:topLinePunct w:val="0"/>
        <w:autoSpaceDE/>
        <w:autoSpaceDN/>
        <w:bidi w:val="0"/>
        <w:adjustRightInd w:val="0"/>
        <w:snapToGrid w:val="0"/>
        <w:spacing w:line="500" w:lineRule="exact"/>
        <w:ind w:firstLine="900" w:firstLineChars="300"/>
        <w:textAlignment w:val="auto"/>
        <w:outlineLvl w:val="9"/>
        <w:rPr>
          <w:rFonts w:hint="eastAsia" w:ascii="Times New Roman" w:hAnsi="仿宋" w:eastAsia="仿宋"/>
          <w:color w:val="auto"/>
          <w:sz w:val="30"/>
          <w:szCs w:val="30"/>
        </w:rPr>
      </w:pPr>
      <w:r>
        <w:rPr>
          <w:rFonts w:hint="eastAsia" w:ascii="Times New Roman" w:hAnsi="仿宋" w:eastAsia="仿宋"/>
          <w:color w:val="auto"/>
          <w:sz w:val="30"/>
          <w:szCs w:val="30"/>
        </w:rPr>
        <w:t>5.存在其他违反采购公认原则及规定的行为。</w:t>
      </w:r>
    </w:p>
    <w:p>
      <w:pPr>
        <w:keepNext w:val="0"/>
        <w:keepLines w:val="0"/>
        <w:pageBreakBefore w:val="0"/>
        <w:widowControl w:val="0"/>
        <w:kinsoku/>
        <w:wordWrap/>
        <w:overflowPunct/>
        <w:topLinePunct w:val="0"/>
        <w:autoSpaceDE/>
        <w:autoSpaceDN/>
        <w:bidi w:val="0"/>
        <w:adjustRightInd w:val="0"/>
        <w:snapToGrid w:val="0"/>
        <w:spacing w:before="81" w:beforeLines="25" w:afterLines="0" w:line="500" w:lineRule="exact"/>
        <w:ind w:firstLine="600" w:firstLineChars="200"/>
        <w:textAlignment w:val="auto"/>
        <w:rPr>
          <w:rFonts w:eastAsia="仿宋"/>
          <w:color w:val="auto"/>
          <w:sz w:val="30"/>
          <w:szCs w:val="30"/>
        </w:rPr>
      </w:pPr>
      <w:r>
        <w:rPr>
          <w:rFonts w:hint="eastAsia" w:eastAsia="黑体"/>
          <w:color w:val="auto"/>
          <w:sz w:val="30"/>
          <w:szCs w:val="30"/>
          <w:lang w:val="en-US" w:eastAsia="zh-CN"/>
        </w:rPr>
        <w:t>八</w:t>
      </w:r>
      <w:r>
        <w:rPr>
          <w:rFonts w:ascii="Times New Roman" w:hAnsi="Times New Roman" w:eastAsia="黑体"/>
          <w:color w:val="auto"/>
          <w:sz w:val="30"/>
          <w:szCs w:val="30"/>
        </w:rPr>
        <w:t>、评分办法</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textAlignment w:val="auto"/>
        <w:rPr>
          <w:rFonts w:eastAsia="仿宋"/>
          <w:color w:val="auto"/>
          <w:sz w:val="30"/>
          <w:szCs w:val="30"/>
        </w:rPr>
      </w:pPr>
      <w:r>
        <w:rPr>
          <w:rFonts w:ascii="Times New Roman" w:hAnsi="Times New Roman" w:eastAsia="仿宋"/>
          <w:color w:val="auto"/>
          <w:sz w:val="30"/>
          <w:szCs w:val="30"/>
        </w:rPr>
        <w:t>本项目评审办法采用综合评分法，评委首先对</w:t>
      </w:r>
      <w:r>
        <w:rPr>
          <w:rFonts w:hint="eastAsia" w:eastAsia="仿宋"/>
          <w:color w:val="auto"/>
          <w:sz w:val="30"/>
          <w:szCs w:val="30"/>
        </w:rPr>
        <w:t>报价</w:t>
      </w:r>
      <w:r>
        <w:rPr>
          <w:rFonts w:ascii="Times New Roman" w:hAnsi="Times New Roman" w:eastAsia="仿宋"/>
          <w:color w:val="auto"/>
          <w:sz w:val="30"/>
          <w:szCs w:val="30"/>
        </w:rPr>
        <w:t>单位进行资格审查，然后对通过资格审查的</w:t>
      </w:r>
      <w:r>
        <w:rPr>
          <w:rFonts w:hint="eastAsia" w:eastAsia="仿宋"/>
          <w:color w:val="auto"/>
          <w:sz w:val="30"/>
          <w:szCs w:val="30"/>
        </w:rPr>
        <w:t>报价</w:t>
      </w:r>
      <w:r>
        <w:rPr>
          <w:rFonts w:ascii="Times New Roman" w:hAnsi="Times New Roman" w:eastAsia="仿宋"/>
          <w:color w:val="auto"/>
          <w:sz w:val="30"/>
          <w:szCs w:val="30"/>
        </w:rPr>
        <w:t>单位的报价、</w:t>
      </w:r>
      <w:r>
        <w:rPr>
          <w:rFonts w:hint="eastAsia" w:ascii="Times New Roman" w:hAnsi="Times New Roman" w:eastAsia="仿宋"/>
          <w:color w:val="auto"/>
          <w:sz w:val="30"/>
          <w:szCs w:val="30"/>
          <w:lang w:val="en-US" w:eastAsia="zh-CN"/>
        </w:rPr>
        <w:t>服务方案</w:t>
      </w:r>
      <w:r>
        <w:rPr>
          <w:rFonts w:ascii="Times New Roman" w:hAnsi="Times New Roman" w:eastAsia="仿宋"/>
          <w:color w:val="auto"/>
          <w:sz w:val="30"/>
          <w:szCs w:val="30"/>
        </w:rPr>
        <w:t>等方面按</w:t>
      </w:r>
      <w:r>
        <w:rPr>
          <w:rFonts w:hint="eastAsia" w:ascii="Times New Roman" w:hAnsi="Times New Roman" w:eastAsia="仿宋"/>
          <w:color w:val="auto"/>
          <w:sz w:val="30"/>
          <w:szCs w:val="30"/>
          <w:lang w:val="en-US" w:eastAsia="zh-CN"/>
        </w:rPr>
        <w:t>100</w:t>
      </w:r>
      <w:r>
        <w:rPr>
          <w:rFonts w:ascii="Times New Roman" w:hAnsi="Times New Roman" w:eastAsia="仿宋"/>
          <w:color w:val="auto"/>
          <w:sz w:val="30"/>
          <w:szCs w:val="30"/>
        </w:rPr>
        <w:t>分制进行评分。</w:t>
      </w:r>
    </w:p>
    <w:p>
      <w:pPr>
        <w:keepNext w:val="0"/>
        <w:keepLines w:val="0"/>
        <w:pageBreakBefore w:val="0"/>
        <w:widowControl w:val="0"/>
        <w:numPr>
          <w:ilvl w:val="0"/>
          <w:numId w:val="1"/>
        </w:numPr>
        <w:kinsoku/>
        <w:wordWrap/>
        <w:overflowPunct/>
        <w:topLinePunct w:val="0"/>
        <w:autoSpaceDE/>
        <w:autoSpaceDN/>
        <w:bidi w:val="0"/>
        <w:adjustRightInd w:val="0"/>
        <w:snapToGrid w:val="0"/>
        <w:spacing w:line="500" w:lineRule="exact"/>
        <w:ind w:firstLine="600" w:firstLineChars="200"/>
        <w:textAlignment w:val="auto"/>
        <w:rPr>
          <w:rFonts w:ascii="Times New Roman" w:hAnsi="仿宋" w:eastAsia="仿宋"/>
          <w:color w:val="auto"/>
          <w:sz w:val="30"/>
          <w:szCs w:val="30"/>
        </w:rPr>
      </w:pPr>
      <w:r>
        <w:rPr>
          <w:rFonts w:hint="eastAsia" w:ascii="Times New Roman" w:hAnsi="仿宋" w:eastAsia="仿宋"/>
          <w:color w:val="auto"/>
          <w:sz w:val="30"/>
          <w:szCs w:val="30"/>
        </w:rPr>
        <w:t>商务文件（权重</w:t>
      </w:r>
      <w:r>
        <w:rPr>
          <w:rFonts w:hint="eastAsia" w:ascii="Times New Roman" w:hAnsi="仿宋" w:eastAsia="仿宋"/>
          <w:color w:val="auto"/>
          <w:sz w:val="30"/>
          <w:szCs w:val="30"/>
          <w:lang w:val="en-US" w:eastAsia="zh-CN"/>
        </w:rPr>
        <w:t>15</w:t>
      </w:r>
      <w:r>
        <w:rPr>
          <w:rFonts w:hint="eastAsia" w:ascii="Times New Roman" w:hAnsi="仿宋" w:eastAsia="仿宋"/>
          <w:color w:val="auto"/>
          <w:sz w:val="30"/>
          <w:szCs w:val="30"/>
        </w:rPr>
        <w:t>%，满分</w:t>
      </w:r>
      <w:r>
        <w:rPr>
          <w:rFonts w:hint="eastAsia" w:ascii="Times New Roman" w:hAnsi="仿宋" w:eastAsia="仿宋"/>
          <w:color w:val="auto"/>
          <w:sz w:val="30"/>
          <w:szCs w:val="30"/>
          <w:lang w:val="en-US" w:eastAsia="zh-CN"/>
        </w:rPr>
        <w:t>15</w:t>
      </w:r>
      <w:r>
        <w:rPr>
          <w:rFonts w:hint="eastAsia" w:ascii="Times New Roman" w:hAnsi="仿宋" w:eastAsia="仿宋"/>
          <w:color w:val="auto"/>
          <w:sz w:val="30"/>
          <w:szCs w:val="30"/>
        </w:rPr>
        <w:t>分）</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Times New Roman" w:hAnsi="仿宋" w:eastAsia="仿宋"/>
          <w:color w:val="auto"/>
          <w:sz w:val="30"/>
          <w:szCs w:val="30"/>
        </w:rPr>
      </w:pPr>
      <w:r>
        <w:rPr>
          <w:rFonts w:hint="eastAsia" w:ascii="Times New Roman" w:hAnsi="仿宋" w:eastAsia="仿宋"/>
          <w:color w:val="auto"/>
          <w:sz w:val="30"/>
          <w:szCs w:val="30"/>
        </w:rPr>
        <w:t>根据</w:t>
      </w:r>
      <w:r>
        <w:rPr>
          <w:rFonts w:hint="eastAsia" w:ascii="Times New Roman" w:hAnsi="仿宋" w:eastAsia="仿宋"/>
          <w:color w:val="auto"/>
          <w:sz w:val="30"/>
          <w:szCs w:val="30"/>
          <w:lang w:val="en-US" w:eastAsia="zh-CN"/>
        </w:rPr>
        <w:t>满足比选文件要求的所有会计师事务所审计费用报价的平均值为选聘基准价，按照下列公式计算审计费用报价得分：</w:t>
      </w:r>
    </w:p>
    <w:p>
      <w:pPr>
        <w:keepNext w:val="0"/>
        <w:keepLines w:val="0"/>
        <w:pageBreakBefore w:val="0"/>
        <w:widowControl w:val="0"/>
        <w:kinsoku/>
        <w:wordWrap/>
        <w:overflowPunct/>
        <w:topLinePunct w:val="0"/>
        <w:autoSpaceDE/>
        <w:autoSpaceDN/>
        <w:bidi w:val="0"/>
        <w:adjustRightInd w:val="0"/>
        <w:snapToGrid w:val="0"/>
        <w:spacing w:line="500" w:lineRule="exact"/>
        <w:ind w:firstLine="600" w:firstLineChars="200"/>
        <w:textAlignment w:val="auto"/>
        <w:rPr>
          <w:rFonts w:ascii="Times New Roman" w:hAnsi="仿宋" w:eastAsia="仿宋"/>
          <w:color w:val="auto"/>
          <w:sz w:val="30"/>
          <w:szCs w:val="30"/>
        </w:rPr>
      </w:pPr>
      <w:r>
        <w:rPr>
          <w:rFonts w:hint="eastAsia" w:ascii="Times New Roman" w:hAnsi="Times New Roman" w:eastAsia="仿宋"/>
          <w:color w:val="auto"/>
          <w:sz w:val="30"/>
          <w:szCs w:val="30"/>
          <w:lang w:val="en-US" w:eastAsia="zh-CN"/>
        </w:rPr>
        <w:t>审计费用报价得分=（1</w:t>
      </w:r>
      <w:r>
        <w:rPr>
          <w:rFonts w:hint="eastAsia" w:ascii="宋体" w:hAnsi="宋体" w:eastAsia="宋体" w:cs="宋体"/>
          <w:color w:val="auto"/>
          <w:sz w:val="30"/>
          <w:szCs w:val="30"/>
          <w:lang w:val="en-US" w:eastAsia="zh-CN"/>
        </w:rPr>
        <w:t>－</w:t>
      </w:r>
      <w:r>
        <w:rPr>
          <w:rFonts w:hint="eastAsia" w:ascii="Times New Roman" w:hAnsi="Times New Roman" w:eastAsia="仿宋"/>
          <w:color w:val="auto"/>
          <w:sz w:val="30"/>
          <w:szCs w:val="30"/>
          <w:lang w:val="en-US" w:eastAsia="zh-CN"/>
        </w:rPr>
        <w:t>|选聘基准价</w:t>
      </w:r>
      <w:r>
        <w:rPr>
          <w:rFonts w:hint="eastAsia" w:ascii="宋体" w:hAnsi="宋体" w:eastAsia="宋体" w:cs="宋体"/>
          <w:color w:val="auto"/>
          <w:sz w:val="30"/>
          <w:szCs w:val="30"/>
          <w:lang w:val="en-US" w:eastAsia="zh-CN"/>
        </w:rPr>
        <w:t>－</w:t>
      </w:r>
      <w:r>
        <w:rPr>
          <w:rFonts w:hint="eastAsia" w:ascii="Times New Roman" w:hAnsi="Times New Roman" w:eastAsia="仿宋"/>
          <w:color w:val="auto"/>
          <w:sz w:val="30"/>
          <w:szCs w:val="30"/>
          <w:lang w:val="en-US" w:eastAsia="zh-CN"/>
        </w:rPr>
        <w:t>审计费用报价|/选聘基准价）</w:t>
      </w:r>
      <w:r>
        <w:rPr>
          <w:rFonts w:hint="default" w:ascii="Arial" w:hAnsi="Arial" w:eastAsia="仿宋" w:cs="Arial"/>
          <w:color w:val="auto"/>
          <w:sz w:val="30"/>
          <w:szCs w:val="30"/>
          <w:lang w:val="en-US" w:eastAsia="zh-CN"/>
        </w:rPr>
        <w:t>×</w:t>
      </w:r>
      <w:r>
        <w:rPr>
          <w:rFonts w:hint="eastAsia" w:ascii="Arial" w:hAnsi="Arial" w:eastAsia="仿宋" w:cs="Arial"/>
          <w:color w:val="auto"/>
          <w:sz w:val="30"/>
          <w:szCs w:val="30"/>
          <w:lang w:val="en-US" w:eastAsia="zh-CN"/>
        </w:rPr>
        <w:t>权重</w:t>
      </w:r>
      <w:r>
        <w:rPr>
          <w:rFonts w:hint="eastAsia" w:ascii="Times New Roman" w:hAnsi="仿宋" w:eastAsia="仿宋"/>
          <w:color w:val="auto"/>
          <w:sz w:val="30"/>
          <w:szCs w:val="30"/>
          <w:lang w:val="en-US" w:eastAsia="zh-CN"/>
        </w:rPr>
        <w:t>15%</w:t>
      </w:r>
      <w:r>
        <w:rPr>
          <w:rFonts w:hint="eastAsia" w:ascii="Times New Roman" w:hAnsi="Times New Roman" w:eastAsia="仿宋"/>
          <w:color w:val="auto"/>
          <w:sz w:val="30"/>
          <w:szCs w:val="30"/>
        </w:rPr>
        <w:t>。</w:t>
      </w:r>
    </w:p>
    <w:p>
      <w:pPr>
        <w:keepNext w:val="0"/>
        <w:keepLines w:val="0"/>
        <w:pageBreakBefore w:val="0"/>
        <w:widowControl w:val="0"/>
        <w:numPr>
          <w:ilvl w:val="0"/>
          <w:numId w:val="2"/>
        </w:numPr>
        <w:kinsoku/>
        <w:wordWrap/>
        <w:overflowPunct/>
        <w:topLinePunct w:val="0"/>
        <w:autoSpaceDE/>
        <w:autoSpaceDN/>
        <w:bidi w:val="0"/>
        <w:adjustRightInd w:val="0"/>
        <w:snapToGrid w:val="0"/>
        <w:spacing w:after="81" w:afterLines="25" w:line="500" w:lineRule="exact"/>
        <w:ind w:firstLine="600" w:firstLineChars="200"/>
        <w:textAlignment w:val="auto"/>
        <w:rPr>
          <w:rFonts w:ascii="Times New Roman" w:hAnsi="仿宋" w:eastAsia="仿宋"/>
          <w:color w:val="auto"/>
          <w:sz w:val="30"/>
          <w:szCs w:val="30"/>
        </w:rPr>
      </w:pPr>
      <w:r>
        <w:rPr>
          <w:rFonts w:hint="eastAsia" w:ascii="Times New Roman" w:hAnsi="仿宋" w:eastAsia="仿宋"/>
          <w:color w:val="auto"/>
          <w:sz w:val="30"/>
          <w:szCs w:val="30"/>
        </w:rPr>
        <w:t>技术文件（权重</w:t>
      </w:r>
      <w:r>
        <w:rPr>
          <w:rFonts w:hint="eastAsia" w:ascii="Times New Roman" w:hAnsi="仿宋" w:eastAsia="仿宋"/>
          <w:color w:val="auto"/>
          <w:sz w:val="30"/>
          <w:szCs w:val="30"/>
          <w:lang w:val="en-US" w:eastAsia="zh-CN"/>
        </w:rPr>
        <w:t>85</w:t>
      </w:r>
      <w:r>
        <w:rPr>
          <w:rFonts w:hint="eastAsia" w:ascii="Times New Roman" w:hAnsi="仿宋" w:eastAsia="仿宋"/>
          <w:color w:val="auto"/>
          <w:sz w:val="30"/>
          <w:szCs w:val="30"/>
        </w:rPr>
        <w:t>%，满分</w:t>
      </w:r>
      <w:r>
        <w:rPr>
          <w:rFonts w:hint="eastAsia" w:ascii="Times New Roman" w:hAnsi="仿宋" w:eastAsia="仿宋"/>
          <w:color w:val="auto"/>
          <w:sz w:val="30"/>
          <w:szCs w:val="30"/>
          <w:lang w:val="en-US" w:eastAsia="zh-CN"/>
        </w:rPr>
        <w:t>85</w:t>
      </w:r>
      <w:r>
        <w:rPr>
          <w:rFonts w:hint="eastAsia" w:ascii="Times New Roman" w:hAnsi="仿宋" w:eastAsia="仿宋"/>
          <w:color w:val="auto"/>
          <w:sz w:val="30"/>
          <w:szCs w:val="30"/>
        </w:rPr>
        <w:t>分）</w:t>
      </w:r>
    </w:p>
    <w:tbl>
      <w:tblPr>
        <w:tblStyle w:val="7"/>
        <w:tblW w:w="906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110"/>
        <w:gridCol w:w="1572"/>
        <w:gridCol w:w="3178"/>
        <w:gridCol w:w="2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7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3" w:leftChars="-25" w:right="-53" w:rightChars="-25"/>
              <w:jc w:val="center"/>
              <w:textAlignment w:val="auto"/>
              <w:rPr>
                <w:rFonts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b/>
                <w:bCs/>
                <w:color w:val="auto"/>
                <w:sz w:val="24"/>
                <w:szCs w:val="24"/>
              </w:rPr>
            </w:pPr>
            <w:r>
              <w:rPr>
                <w:rFonts w:hint="eastAsia" w:ascii="仿宋" w:hAnsi="仿宋" w:eastAsia="仿宋" w:cs="仿宋"/>
                <w:b/>
                <w:bCs/>
                <w:color w:val="auto"/>
                <w:sz w:val="24"/>
                <w:szCs w:val="24"/>
              </w:rPr>
              <w:t>评审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b/>
                <w:bCs/>
                <w:color w:val="auto"/>
                <w:sz w:val="24"/>
                <w:szCs w:val="24"/>
              </w:rPr>
            </w:pPr>
            <w:r>
              <w:rPr>
                <w:rFonts w:hint="eastAsia" w:ascii="仿宋" w:hAnsi="仿宋" w:eastAsia="仿宋" w:cs="仿宋"/>
                <w:b/>
                <w:bCs/>
                <w:color w:val="auto"/>
                <w:sz w:val="24"/>
                <w:szCs w:val="24"/>
              </w:rPr>
              <w:t>项目</w:t>
            </w:r>
          </w:p>
        </w:tc>
        <w:tc>
          <w:tcPr>
            <w:tcW w:w="1572" w:type="dxa"/>
            <w:vAlign w:val="center"/>
          </w:tcPr>
          <w:p>
            <w:pPr>
              <w:numPr>
                <w:ilvl w:val="0"/>
                <w:numId w:val="0"/>
              </w:numPr>
              <w:spacing w:line="36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权重</w:t>
            </w:r>
          </w:p>
        </w:tc>
        <w:tc>
          <w:tcPr>
            <w:tcW w:w="3178" w:type="dxa"/>
            <w:vAlign w:val="center"/>
          </w:tcPr>
          <w:p>
            <w:pPr>
              <w:numPr>
                <w:ilvl w:val="0"/>
                <w:numId w:val="0"/>
              </w:numPr>
              <w:spacing w:line="36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评审依据</w:t>
            </w:r>
          </w:p>
        </w:tc>
        <w:tc>
          <w:tcPr>
            <w:tcW w:w="2478" w:type="dxa"/>
            <w:vAlign w:val="center"/>
          </w:tcPr>
          <w:p>
            <w:pPr>
              <w:numPr>
                <w:ilvl w:val="0"/>
                <w:numId w:val="0"/>
              </w:numPr>
              <w:spacing w:line="360" w:lineRule="exact"/>
              <w:jc w:val="center"/>
              <w:rPr>
                <w:rFonts w:ascii="仿宋" w:hAnsi="仿宋" w:eastAsia="仿宋" w:cs="仿宋"/>
                <w:b/>
                <w:bCs/>
                <w:color w:val="auto"/>
                <w:sz w:val="24"/>
                <w:szCs w:val="24"/>
              </w:rPr>
            </w:pPr>
            <w:r>
              <w:rPr>
                <w:rFonts w:hint="eastAsia" w:ascii="仿宋" w:hAnsi="仿宋" w:eastAsia="仿宋" w:cs="仿宋"/>
                <w:b/>
                <w:bCs/>
                <w:color w:val="auto"/>
                <w:sz w:val="24"/>
                <w:szCs w:val="24"/>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6" w:hRule="atLeast"/>
        </w:trPr>
        <w:tc>
          <w:tcPr>
            <w:tcW w:w="7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1</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业绩</w:t>
            </w:r>
          </w:p>
        </w:tc>
        <w:tc>
          <w:tcPr>
            <w:tcW w:w="15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权重</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满分</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分</w:t>
            </w:r>
          </w:p>
        </w:tc>
        <w:tc>
          <w:tcPr>
            <w:tcW w:w="31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根据所附业绩合同或中标通知书数量、合同金额大小</w:t>
            </w:r>
            <w:r>
              <w:rPr>
                <w:rFonts w:hint="eastAsia" w:ascii="仿宋" w:hAnsi="仿宋" w:eastAsia="仿宋" w:cs="仿宋"/>
                <w:color w:val="auto"/>
                <w:sz w:val="24"/>
                <w:szCs w:val="24"/>
                <w:lang w:eastAsia="zh-CN"/>
              </w:rPr>
              <w:t>、项目规模</w:t>
            </w:r>
            <w:r>
              <w:rPr>
                <w:rFonts w:hint="eastAsia" w:ascii="仿宋" w:hAnsi="仿宋" w:eastAsia="仿宋" w:cs="仿宋"/>
                <w:color w:val="auto"/>
                <w:sz w:val="24"/>
                <w:szCs w:val="24"/>
              </w:rPr>
              <w:t>等方面进行横向对比评审，评审按五个档进行</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1为不合格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（得分为1/5*</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2为一般</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（得分为2/5*</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3为合格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（得分为3/5*</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4为良好</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（得分为4/5*</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5为优秀</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（得分为5/5*</w:t>
            </w:r>
            <w:r>
              <w:rPr>
                <w:rFonts w:hint="eastAsia" w:ascii="仿宋" w:hAnsi="仿宋" w:eastAsia="仿宋" w:cs="仿宋"/>
                <w:color w:val="auto"/>
                <w:sz w:val="24"/>
                <w:szCs w:val="24"/>
                <w:lang w:val="en-US" w:eastAsia="zh-CN"/>
              </w:rPr>
              <w:t>12</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trPr>
        <w:tc>
          <w:tcPr>
            <w:tcW w:w="7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eastAsia="zh-CN"/>
              </w:rPr>
              <w:t>2</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工作组织</w:t>
            </w:r>
          </w:p>
        </w:tc>
        <w:tc>
          <w:tcPr>
            <w:tcW w:w="15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权重</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满分</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分</w:t>
            </w:r>
          </w:p>
        </w:tc>
        <w:tc>
          <w:tcPr>
            <w:tcW w:w="31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根据</w:t>
            </w:r>
            <w:r>
              <w:rPr>
                <w:rFonts w:hint="eastAsia" w:ascii="Times New Roman" w:hAnsi="仿宋" w:eastAsia="仿宋"/>
                <w:color w:val="auto"/>
                <w:sz w:val="24"/>
                <w:szCs w:val="24"/>
                <w:lang w:eastAsia="zh-CN"/>
              </w:rPr>
              <w:t>服务工作组织计划</w:t>
            </w:r>
            <w:r>
              <w:rPr>
                <w:rFonts w:hint="eastAsia" w:ascii="仿宋" w:hAnsi="仿宋" w:eastAsia="仿宋" w:cs="仿宋"/>
                <w:color w:val="auto"/>
                <w:sz w:val="24"/>
                <w:szCs w:val="24"/>
              </w:rPr>
              <w:t>是否合理可行等方面的内容进行横向对比评审，评审按五个档进行</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1为不合格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（得分为1/5*</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2为一般</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（得分为2/5*</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3为合格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（得分为3/5*</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4为良好</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（得分为4/5*</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5为优秀</w:t>
            </w:r>
          </w:p>
          <w:p>
            <w:pPr>
              <w:keepNext w:val="0"/>
              <w:keepLines w:val="0"/>
              <w:pageBreakBefore w:val="0"/>
              <w:widowControl w:val="0"/>
              <w:kinsoku/>
              <w:wordWrap/>
              <w:overflowPunct/>
              <w:topLinePunct w:val="0"/>
              <w:autoSpaceDE/>
              <w:autoSpaceDN/>
              <w:bidi w:val="0"/>
              <w:adjustRightInd w:val="0"/>
              <w:snapToGrid w:val="0"/>
              <w:spacing w:line="300" w:lineRule="exact"/>
              <w:textAlignment w:val="auto"/>
              <w:rPr>
                <w:rFonts w:ascii="仿宋" w:hAnsi="仿宋" w:eastAsia="仿宋" w:cs="仿宋"/>
                <w:color w:val="auto"/>
                <w:sz w:val="24"/>
                <w:szCs w:val="24"/>
              </w:rPr>
            </w:pPr>
            <w:r>
              <w:rPr>
                <w:rFonts w:hint="eastAsia" w:ascii="仿宋" w:hAnsi="仿宋" w:eastAsia="仿宋" w:cs="仿宋"/>
                <w:color w:val="auto"/>
                <w:sz w:val="24"/>
                <w:szCs w:val="24"/>
              </w:rPr>
              <w:t>（得分为5/5*</w:t>
            </w:r>
            <w:r>
              <w:rPr>
                <w:rFonts w:hint="eastAsia" w:ascii="仿宋" w:hAnsi="仿宋" w:eastAsia="仿宋" w:cs="仿宋"/>
                <w:color w:val="auto"/>
                <w:sz w:val="24"/>
                <w:szCs w:val="24"/>
                <w:lang w:val="en-US" w:eastAsia="zh-CN"/>
              </w:rPr>
              <w:t>8</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trPr>
        <w:tc>
          <w:tcPr>
            <w:tcW w:w="7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质量管理水平</w:t>
            </w:r>
          </w:p>
        </w:tc>
        <w:tc>
          <w:tcPr>
            <w:tcW w:w="15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权重</w:t>
            </w:r>
            <w:r>
              <w:rPr>
                <w:rFonts w:hint="eastAsia" w:ascii="仿宋" w:hAnsi="仿宋" w:eastAsia="仿宋" w:cs="仿宋"/>
                <w:color w:val="auto"/>
                <w:sz w:val="24"/>
                <w:szCs w:val="24"/>
                <w:lang w:val="en-US" w:eastAsia="zh-CN"/>
              </w:rPr>
              <w:t>40</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满分</w:t>
            </w:r>
            <w:r>
              <w:rPr>
                <w:rFonts w:hint="eastAsia" w:ascii="仿宋" w:hAnsi="仿宋" w:eastAsia="仿宋" w:cs="仿宋"/>
                <w:color w:val="auto"/>
                <w:sz w:val="24"/>
                <w:szCs w:val="24"/>
                <w:lang w:val="en-US" w:eastAsia="zh-CN"/>
              </w:rPr>
              <w:t>40</w:t>
            </w:r>
            <w:r>
              <w:rPr>
                <w:rFonts w:hint="eastAsia" w:ascii="仿宋" w:hAnsi="仿宋" w:eastAsia="仿宋" w:cs="仿宋"/>
                <w:color w:val="auto"/>
                <w:sz w:val="24"/>
                <w:szCs w:val="24"/>
              </w:rPr>
              <w:t>分</w:t>
            </w:r>
          </w:p>
        </w:tc>
        <w:tc>
          <w:tcPr>
            <w:tcW w:w="31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根据项目咨询、意见分歧解决、项目质量复核、及检查、质量管理缺陷识别与整改等方面的政策与程序进行横向对比评审，评审按五个档进行</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1为不合格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（得分为1/5*</w:t>
            </w:r>
            <w:r>
              <w:rPr>
                <w:rFonts w:hint="eastAsia" w:ascii="仿宋" w:hAnsi="仿宋" w:eastAsia="仿宋" w:cs="仿宋"/>
                <w:color w:val="auto"/>
                <w:sz w:val="24"/>
                <w:szCs w:val="24"/>
                <w:lang w:val="en-US" w:eastAsia="zh-CN"/>
              </w:rPr>
              <w:t>40</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2为一般</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（得分为2/5*</w:t>
            </w:r>
            <w:r>
              <w:rPr>
                <w:rFonts w:hint="eastAsia" w:ascii="仿宋" w:hAnsi="仿宋" w:eastAsia="仿宋" w:cs="仿宋"/>
                <w:color w:val="auto"/>
                <w:sz w:val="24"/>
                <w:szCs w:val="24"/>
                <w:lang w:val="en-US" w:eastAsia="zh-CN"/>
              </w:rPr>
              <w:t>40</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3为合格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（得分为3/5*</w:t>
            </w:r>
            <w:r>
              <w:rPr>
                <w:rFonts w:hint="eastAsia" w:ascii="仿宋" w:hAnsi="仿宋" w:eastAsia="仿宋" w:cs="仿宋"/>
                <w:color w:val="auto"/>
                <w:sz w:val="24"/>
                <w:szCs w:val="24"/>
                <w:lang w:val="en-US" w:eastAsia="zh-CN"/>
              </w:rPr>
              <w:t>40</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4为良好</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（得分为4/5*</w:t>
            </w:r>
            <w:r>
              <w:rPr>
                <w:rFonts w:hint="eastAsia" w:ascii="仿宋" w:hAnsi="仿宋" w:eastAsia="仿宋" w:cs="仿宋"/>
                <w:color w:val="auto"/>
                <w:sz w:val="24"/>
                <w:szCs w:val="24"/>
                <w:lang w:val="en-US" w:eastAsia="zh-CN"/>
              </w:rPr>
              <w:t>40</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5为优秀</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（得分为5/5*</w:t>
            </w:r>
            <w:r>
              <w:rPr>
                <w:rFonts w:hint="eastAsia" w:ascii="仿宋" w:hAnsi="仿宋" w:eastAsia="仿宋" w:cs="仿宋"/>
                <w:color w:val="auto"/>
                <w:sz w:val="24"/>
                <w:szCs w:val="24"/>
                <w:lang w:val="en-US" w:eastAsia="zh-CN"/>
              </w:rPr>
              <w:t>40</w:t>
            </w:r>
            <w:r>
              <w:rPr>
                <w:rFonts w:hint="eastAsia" w:ascii="仿宋" w:hAnsi="仿宋" w:eastAsia="仿宋" w:cs="仿宋"/>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72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left="-53" w:leftChars="-25" w:right="-53" w:rightChars="-25"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rPr>
              <w:t>序号</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b/>
                <w:bCs/>
                <w:color w:val="auto"/>
                <w:sz w:val="24"/>
                <w:szCs w:val="24"/>
              </w:rPr>
            </w:pPr>
            <w:r>
              <w:rPr>
                <w:rFonts w:hint="eastAsia" w:ascii="仿宋" w:hAnsi="仿宋" w:eastAsia="仿宋" w:cs="仿宋"/>
                <w:b/>
                <w:bCs/>
                <w:color w:val="auto"/>
                <w:sz w:val="24"/>
                <w:szCs w:val="24"/>
              </w:rPr>
              <w:t>评审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ind w:left="0" w:leftChars="0" w:firstLine="0" w:firstLineChars="0"/>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rPr>
              <w:t>项目</w:t>
            </w:r>
          </w:p>
        </w:tc>
        <w:tc>
          <w:tcPr>
            <w:tcW w:w="1572" w:type="dxa"/>
            <w:vAlign w:val="center"/>
          </w:tcPr>
          <w:p>
            <w:pPr>
              <w:numPr>
                <w:ilvl w:val="0"/>
                <w:numId w:val="0"/>
              </w:numPr>
              <w:spacing w:line="360" w:lineRule="exact"/>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权重</w:t>
            </w:r>
          </w:p>
        </w:tc>
        <w:tc>
          <w:tcPr>
            <w:tcW w:w="3178" w:type="dxa"/>
            <w:vAlign w:val="center"/>
          </w:tcPr>
          <w:p>
            <w:pPr>
              <w:numPr>
                <w:ilvl w:val="0"/>
                <w:numId w:val="0"/>
              </w:numPr>
              <w:spacing w:line="360" w:lineRule="exact"/>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评审依据</w:t>
            </w:r>
          </w:p>
        </w:tc>
        <w:tc>
          <w:tcPr>
            <w:tcW w:w="2478" w:type="dxa"/>
            <w:vAlign w:val="center"/>
          </w:tcPr>
          <w:p>
            <w:pPr>
              <w:numPr>
                <w:ilvl w:val="0"/>
                <w:numId w:val="0"/>
              </w:numPr>
              <w:spacing w:line="360" w:lineRule="exact"/>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b/>
                <w:bCs/>
                <w:color w:val="auto"/>
                <w:sz w:val="24"/>
                <w:szCs w:val="24"/>
              </w:rPr>
              <w:t>评分规则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9" w:hRule="atLeast"/>
        </w:trPr>
        <w:tc>
          <w:tcPr>
            <w:tcW w:w="7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4</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人力及其他资源配置</w:t>
            </w:r>
          </w:p>
        </w:tc>
        <w:tc>
          <w:tcPr>
            <w:tcW w:w="15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权重</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满分</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分</w:t>
            </w:r>
          </w:p>
        </w:tc>
        <w:tc>
          <w:tcPr>
            <w:tcW w:w="31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根据人员配备的合理性、充足性、人员资格证书</w:t>
            </w:r>
            <w:r>
              <w:rPr>
                <w:rFonts w:hint="eastAsia" w:ascii="仿宋" w:hAnsi="仿宋" w:eastAsia="仿宋" w:cs="仿宋"/>
                <w:color w:val="auto"/>
                <w:sz w:val="24"/>
                <w:szCs w:val="24"/>
                <w:lang w:eastAsia="zh-CN"/>
              </w:rPr>
              <w:t>的符合性</w:t>
            </w:r>
            <w:r>
              <w:rPr>
                <w:rFonts w:hint="eastAsia" w:ascii="仿宋" w:hAnsi="仿宋" w:eastAsia="仿宋" w:cs="仿宋"/>
                <w:color w:val="auto"/>
                <w:sz w:val="24"/>
                <w:szCs w:val="24"/>
              </w:rPr>
              <w:t>等方面进行横向对比评审，评审按五个档进行</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1为不合格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（得分为1/5*</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2为一般</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（得分为2/5*</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3为合格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（得分为3/5*</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4为良好</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（得分为4/5*</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5为优秀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firstLine="0" w:firstLineChars="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（得分为5/5*</w:t>
            </w:r>
            <w:r>
              <w:rPr>
                <w:rFonts w:hint="eastAsia" w:ascii="仿宋" w:hAnsi="仿宋" w:eastAsia="仿宋" w:cs="仿宋"/>
                <w:color w:val="auto"/>
                <w:sz w:val="24"/>
                <w:szCs w:val="24"/>
                <w:lang w:val="en-US" w:eastAsia="zh-CN"/>
              </w:rPr>
              <w:t>20</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8" w:hRule="atLeast"/>
        </w:trPr>
        <w:tc>
          <w:tcPr>
            <w:tcW w:w="7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5</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信息安全管理</w:t>
            </w:r>
          </w:p>
        </w:tc>
        <w:tc>
          <w:tcPr>
            <w:tcW w:w="15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权重</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满分</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分</w:t>
            </w:r>
          </w:p>
        </w:tc>
        <w:tc>
          <w:tcPr>
            <w:tcW w:w="31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lef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根据服务单位提供相关信息安全管理制度，以及如何在合同中设置单独条款的约定内容等方面进行横向对比评审，评审按五个档进行</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1为不合格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（得分为1/5*</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2为一般</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（得分为2/5*</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3为合格</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（得分为3/5*</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4为良好</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（得分为4/5*</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0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5为优秀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00" w:lineRule="exact"/>
              <w:ind w:left="0" w:leftChars="0" w:firstLine="0" w:firstLineChars="0"/>
              <w:textAlignment w:val="auto"/>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（得分为5/5*</w:t>
            </w:r>
            <w:r>
              <w:rPr>
                <w:rFonts w:hint="eastAsia" w:ascii="仿宋" w:hAnsi="仿宋" w:eastAsia="仿宋" w:cs="仿宋"/>
                <w:color w:val="auto"/>
                <w:sz w:val="24"/>
                <w:szCs w:val="24"/>
                <w:lang w:val="en-US" w:eastAsia="zh-CN"/>
              </w:rPr>
              <w:t>3</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2" w:hRule="atLeast"/>
        </w:trPr>
        <w:tc>
          <w:tcPr>
            <w:tcW w:w="72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6</w:t>
            </w:r>
          </w:p>
        </w:tc>
        <w:tc>
          <w:tcPr>
            <w:tcW w:w="1110"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风险承担能力水平</w:t>
            </w:r>
          </w:p>
        </w:tc>
        <w:tc>
          <w:tcPr>
            <w:tcW w:w="1572"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权重</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center"/>
              <w:textAlignment w:val="auto"/>
              <w:rPr>
                <w:rFonts w:ascii="仿宋" w:hAnsi="仿宋" w:eastAsia="仿宋" w:cs="仿宋"/>
                <w:color w:val="auto"/>
                <w:sz w:val="24"/>
                <w:szCs w:val="24"/>
              </w:rPr>
            </w:pPr>
            <w:r>
              <w:rPr>
                <w:rFonts w:hint="eastAsia" w:ascii="仿宋" w:hAnsi="仿宋" w:eastAsia="仿宋" w:cs="仿宋"/>
                <w:color w:val="auto"/>
                <w:sz w:val="24"/>
                <w:szCs w:val="24"/>
              </w:rPr>
              <w:t>满分</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分</w:t>
            </w:r>
          </w:p>
        </w:tc>
        <w:tc>
          <w:tcPr>
            <w:tcW w:w="3178" w:type="dxa"/>
            <w:vAlign w:val="center"/>
          </w:tcPr>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根据</w:t>
            </w:r>
            <w:r>
              <w:rPr>
                <w:rFonts w:hint="eastAsia" w:ascii="仿宋" w:hAnsi="仿宋" w:eastAsia="仿宋" w:cs="仿宋"/>
                <w:color w:val="auto"/>
                <w:sz w:val="24"/>
                <w:szCs w:val="24"/>
                <w:lang w:val="en-US" w:eastAsia="zh-CN"/>
              </w:rPr>
              <w:t>服务单位提供的职业保险购买证明或风险金余额证明</w:t>
            </w:r>
            <w:r>
              <w:rPr>
                <w:rFonts w:hint="eastAsia" w:ascii="仿宋" w:hAnsi="仿宋" w:eastAsia="仿宋" w:cs="仿宋"/>
                <w:color w:val="auto"/>
                <w:sz w:val="24"/>
                <w:szCs w:val="24"/>
              </w:rPr>
              <w:t>等方面进行横向对比评审，评审按五个档进行</w:t>
            </w:r>
          </w:p>
        </w:tc>
        <w:tc>
          <w:tcPr>
            <w:tcW w:w="2478" w:type="dxa"/>
            <w:vAlign w:val="center"/>
          </w:tcPr>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1为不合格</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（得分为1/5*</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2为一般</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（得分为2/5*</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3为合格</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（得分为3/5*</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4为良好</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（得分为4/5*</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p>
          <w:p>
            <w:pPr>
              <w:keepNext w:val="0"/>
              <w:keepLines w:val="0"/>
              <w:pageBreakBefore w:val="0"/>
              <w:widowControl w:val="0"/>
              <w:kinsoku/>
              <w:wordWrap/>
              <w:overflowPunct/>
              <w:topLinePunct w:val="0"/>
              <w:autoSpaceDE/>
              <w:autoSpaceDN/>
              <w:bidi w:val="0"/>
              <w:adjustRightInd w:val="0"/>
              <w:snapToGrid w:val="0"/>
              <w:spacing w:line="340" w:lineRule="exact"/>
              <w:jc w:val="left"/>
              <w:textAlignment w:val="auto"/>
              <w:rPr>
                <w:rFonts w:ascii="仿宋" w:hAnsi="仿宋" w:eastAsia="仿宋" w:cs="仿宋"/>
                <w:color w:val="auto"/>
                <w:sz w:val="24"/>
                <w:szCs w:val="24"/>
              </w:rPr>
            </w:pPr>
            <w:r>
              <w:rPr>
                <w:rFonts w:hint="eastAsia" w:ascii="仿宋" w:hAnsi="仿宋" w:eastAsia="仿宋" w:cs="仿宋"/>
                <w:color w:val="auto"/>
                <w:sz w:val="24"/>
                <w:szCs w:val="24"/>
              </w:rPr>
              <w:t>5为优秀</w:t>
            </w:r>
          </w:p>
          <w:p>
            <w:pPr>
              <w:keepNext w:val="0"/>
              <w:keepLines w:val="0"/>
              <w:pageBreakBefore w:val="0"/>
              <w:widowControl w:val="0"/>
              <w:numPr>
                <w:ilvl w:val="0"/>
                <w:numId w:val="0"/>
              </w:numPr>
              <w:kinsoku/>
              <w:wordWrap/>
              <w:overflowPunct/>
              <w:topLinePunct w:val="0"/>
              <w:autoSpaceDE/>
              <w:autoSpaceDN/>
              <w:bidi w:val="0"/>
              <w:adjustRightInd w:val="0"/>
              <w:snapToGrid w:val="0"/>
              <w:spacing w:line="340" w:lineRule="exact"/>
              <w:textAlignment w:val="auto"/>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（得分为5/5*</w:t>
            </w: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w:t>
            </w:r>
            <w:r>
              <w:rPr>
                <w:rFonts w:hint="eastAsia" w:ascii="仿宋" w:hAnsi="仿宋" w:eastAsia="仿宋" w:cs="仿宋"/>
                <w:color w:val="auto"/>
                <w:sz w:val="24"/>
                <w:szCs w:val="24"/>
                <w:lang w:eastAsia="zh-CN"/>
              </w:rPr>
              <w:t>。</w:t>
            </w:r>
          </w:p>
        </w:tc>
      </w:tr>
    </w:tbl>
    <w:p>
      <w:pPr>
        <w:numPr>
          <w:ilvl w:val="0"/>
          <w:numId w:val="0"/>
        </w:numPr>
        <w:spacing w:line="520" w:lineRule="exact"/>
        <w:ind w:firstLine="640" w:firstLineChars="200"/>
        <w:rPr>
          <w:rFonts w:ascii="Times New Roman" w:hAnsi="仿宋" w:eastAsia="仿宋"/>
          <w:color w:val="auto"/>
          <w:sz w:val="32"/>
          <w:szCs w:val="32"/>
        </w:rPr>
        <w:sectPr>
          <w:footerReference r:id="rId3" w:type="default"/>
          <w:pgSz w:w="11906" w:h="16838"/>
          <w:pgMar w:top="1701" w:right="1417" w:bottom="1361" w:left="1474" w:header="851" w:footer="992" w:gutter="0"/>
          <w:pgBorders>
            <w:top w:val="none" w:sz="0" w:space="0"/>
            <w:left w:val="none" w:sz="0" w:space="0"/>
            <w:bottom w:val="none" w:sz="0" w:space="0"/>
            <w:right w:val="none" w:sz="0" w:space="0"/>
          </w:pgBorders>
          <w:pgNumType w:fmt="decimal"/>
          <w:cols w:space="0" w:num="1"/>
          <w:rtlGutter w:val="0"/>
          <w:docGrid w:type="lines" w:linePitch="321" w:charSpace="0"/>
        </w:sect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firstLine="600" w:firstLineChars="200"/>
        <w:textAlignment w:val="auto"/>
        <w:rPr>
          <w:rFonts w:eastAsia="黑体"/>
          <w:bCs/>
          <w:color w:val="auto"/>
          <w:sz w:val="30"/>
          <w:szCs w:val="30"/>
          <w:shd w:val="clear" w:color="auto" w:fill="FFFFFF"/>
        </w:rPr>
      </w:pPr>
      <w:bookmarkStart w:id="1" w:name="_GoBack"/>
      <w:bookmarkEnd w:id="1"/>
      <w:r>
        <w:rPr>
          <w:rFonts w:hint="eastAsia" w:eastAsia="黑体"/>
          <w:bCs/>
          <w:color w:val="auto"/>
          <w:sz w:val="30"/>
          <w:szCs w:val="30"/>
          <w:shd w:val="clear" w:color="auto" w:fill="FFFFFF"/>
          <w:lang w:val="en-US" w:eastAsia="zh-CN"/>
        </w:rPr>
        <w:t>九</w:t>
      </w:r>
      <w:r>
        <w:rPr>
          <w:rFonts w:ascii="Times New Roman" w:hAnsi="Times New Roman" w:eastAsia="黑体"/>
          <w:bCs/>
          <w:color w:val="auto"/>
          <w:sz w:val="30"/>
          <w:szCs w:val="30"/>
          <w:shd w:val="clear" w:color="auto" w:fill="FFFFFF"/>
        </w:rPr>
        <w:t>、中选候选人推荐原则</w:t>
      </w:r>
    </w:p>
    <w:p>
      <w:pPr>
        <w:keepNext w:val="0"/>
        <w:keepLines w:val="0"/>
        <w:pageBreakBefore w:val="0"/>
        <w:widowControl w:val="0"/>
        <w:kinsoku/>
        <w:wordWrap/>
        <w:overflowPunct/>
        <w:topLinePunct w:val="0"/>
        <w:autoSpaceDE/>
        <w:autoSpaceDN/>
        <w:bidi w:val="0"/>
        <w:spacing w:beforeLines="0" w:afterLines="0" w:line="500" w:lineRule="exact"/>
        <w:ind w:firstLine="640" w:firstLineChars="200"/>
        <w:textAlignment w:val="auto"/>
        <w:rPr>
          <w:rFonts w:ascii="Times New Roman" w:hAnsi="Times New Roman" w:eastAsia="仿宋"/>
          <w:color w:val="auto"/>
          <w:sz w:val="32"/>
          <w:szCs w:val="32"/>
        </w:rPr>
      </w:pPr>
      <w:r>
        <w:rPr>
          <w:rFonts w:ascii="Times New Roman" w:hAnsi="Times New Roman" w:eastAsia="仿宋"/>
          <w:color w:val="auto"/>
          <w:sz w:val="32"/>
          <w:szCs w:val="32"/>
        </w:rPr>
        <w:t>我公司</w:t>
      </w:r>
      <w:r>
        <w:rPr>
          <w:rFonts w:hint="eastAsia" w:ascii="Times New Roman" w:hAnsi="Times New Roman" w:eastAsia="仿宋"/>
          <w:color w:val="auto"/>
          <w:sz w:val="32"/>
          <w:szCs w:val="32"/>
          <w:lang w:eastAsia="zh-CN"/>
        </w:rPr>
        <w:t>合约部招采人员</w:t>
      </w:r>
      <w:r>
        <w:rPr>
          <w:rFonts w:ascii="Times New Roman" w:hAnsi="Times New Roman" w:eastAsia="仿宋"/>
          <w:color w:val="auto"/>
          <w:sz w:val="32"/>
          <w:szCs w:val="32"/>
        </w:rPr>
        <w:t>按照</w:t>
      </w:r>
      <w:r>
        <w:rPr>
          <w:rFonts w:hint="eastAsia" w:eastAsia="仿宋"/>
          <w:color w:val="auto"/>
          <w:sz w:val="32"/>
          <w:szCs w:val="32"/>
        </w:rPr>
        <w:t>比选公告</w:t>
      </w:r>
      <w:r>
        <w:rPr>
          <w:rFonts w:hint="eastAsia" w:eastAsia="仿宋"/>
          <w:color w:val="auto"/>
          <w:sz w:val="32"/>
          <w:szCs w:val="32"/>
          <w:lang w:eastAsia="zh-CN"/>
        </w:rPr>
        <w:t>、文件</w:t>
      </w:r>
      <w:r>
        <w:rPr>
          <w:rFonts w:ascii="Times New Roman" w:hAnsi="Times New Roman" w:eastAsia="仿宋"/>
          <w:color w:val="auto"/>
          <w:sz w:val="32"/>
          <w:szCs w:val="32"/>
        </w:rPr>
        <w:t>的要求，拟定综合评分表</w:t>
      </w:r>
      <w:r>
        <w:rPr>
          <w:rFonts w:hint="eastAsia" w:ascii="Times New Roman" w:hAnsi="Times New Roman" w:eastAsia="仿宋"/>
          <w:color w:val="auto"/>
          <w:sz w:val="32"/>
          <w:szCs w:val="32"/>
          <w:lang w:eastAsia="zh-CN"/>
        </w:rPr>
        <w:t>，最终出具评审报告</w:t>
      </w:r>
      <w:r>
        <w:rPr>
          <w:rFonts w:ascii="Times New Roman" w:hAnsi="Times New Roman" w:eastAsia="仿宋"/>
          <w:color w:val="auto"/>
          <w:sz w:val="32"/>
          <w:szCs w:val="32"/>
        </w:rPr>
        <w:t>。评审表标明</w:t>
      </w:r>
      <w:r>
        <w:rPr>
          <w:rFonts w:hint="eastAsia" w:eastAsia="仿宋"/>
          <w:color w:val="auto"/>
          <w:sz w:val="32"/>
          <w:szCs w:val="32"/>
        </w:rPr>
        <w:t>报价</w:t>
      </w:r>
      <w:r>
        <w:rPr>
          <w:rFonts w:ascii="Times New Roman" w:hAnsi="Times New Roman" w:eastAsia="仿宋"/>
          <w:color w:val="auto"/>
          <w:sz w:val="32"/>
          <w:szCs w:val="32"/>
        </w:rPr>
        <w:t>单位的报价、对评审中各分项得分的统计和说明。经评审综合总得分最高者为第一中选候选人，总得分第二高者为第二中选候选人，总得分第三高者为</w:t>
      </w:r>
      <w:r>
        <w:rPr>
          <w:rFonts w:ascii="Times New Roman" w:hAnsi="Times New Roman" w:eastAsia="仿宋"/>
          <w:color w:val="auto"/>
          <w:sz w:val="32"/>
          <w:szCs w:val="32"/>
          <w:highlight w:val="none"/>
        </w:rPr>
        <w:t>第三中</w:t>
      </w:r>
      <w:r>
        <w:rPr>
          <w:rFonts w:ascii="Times New Roman" w:hAnsi="Times New Roman" w:eastAsia="仿宋"/>
          <w:color w:val="auto"/>
          <w:sz w:val="32"/>
          <w:szCs w:val="32"/>
        </w:rPr>
        <w:t>选候选人。第一中选候选人确定为中选人（按评审后得分由高到低顺序排列；得分相同的，按报价由低到高顺序排列；得分且报价相同的，按技术指标优劣顺序由参与评审人员投票确定）。因中选候选人放弃或者因不可抗力的提出不能履行合同时，采购人依序确定其他中选候选为中选人。</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firstLine="600" w:firstLineChars="200"/>
        <w:jc w:val="both"/>
        <w:textAlignment w:val="auto"/>
        <w:rPr>
          <w:rFonts w:hint="default" w:ascii="Times New Roman" w:hAnsi="Times New Roman" w:eastAsia="仿宋"/>
          <w:color w:val="auto"/>
          <w:sz w:val="30"/>
          <w:szCs w:val="30"/>
          <w:lang w:val="en-US" w:eastAsia="zh-CN"/>
        </w:rPr>
      </w:pPr>
      <w:r>
        <w:rPr>
          <w:rFonts w:hint="eastAsia" w:ascii="Times New Roman" w:hAnsi="Times New Roman" w:eastAsia="仿宋"/>
          <w:color w:val="auto"/>
          <w:sz w:val="30"/>
          <w:szCs w:val="30"/>
          <w:lang w:val="en-US" w:eastAsia="zh-CN"/>
        </w:rPr>
        <w:t>附件：审计业务约定书</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textAlignment w:val="auto"/>
        <w:rPr>
          <w:rFonts w:ascii="Times New Roman" w:hAnsi="Times New Roman" w:eastAsia="仿宋"/>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textAlignment w:val="auto"/>
        <w:rPr>
          <w:rFonts w:ascii="Times New Roman" w:hAnsi="Times New Roman" w:eastAsia="仿宋"/>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textAlignment w:val="auto"/>
        <w:rPr>
          <w:rFonts w:ascii="Times New Roman" w:hAnsi="Times New Roman" w:eastAsia="仿宋"/>
          <w:color w:val="auto"/>
          <w:sz w:val="30"/>
          <w:szCs w:val="30"/>
        </w:rPr>
      </w:pP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firstLine="3354" w:firstLineChars="1118"/>
        <w:textAlignment w:val="auto"/>
        <w:rPr>
          <w:rFonts w:ascii="Times New Roman" w:hAnsi="Times New Roman" w:eastAsia="仿宋"/>
          <w:color w:val="auto"/>
          <w:sz w:val="30"/>
          <w:szCs w:val="30"/>
        </w:rPr>
      </w:pPr>
      <w:r>
        <w:rPr>
          <w:rFonts w:hint="eastAsia" w:ascii="Times New Roman" w:hAnsi="Times New Roman" w:eastAsia="仿宋"/>
          <w:color w:val="auto"/>
          <w:sz w:val="30"/>
          <w:szCs w:val="30"/>
          <w:lang w:val="en-US" w:eastAsia="zh-CN"/>
        </w:rPr>
        <w:t>广</w:t>
      </w:r>
      <w:r>
        <w:rPr>
          <w:rFonts w:hint="eastAsia" w:ascii="Times New Roman" w:hAnsi="Times New Roman" w:eastAsia="仿宋"/>
          <w:color w:val="auto"/>
          <w:sz w:val="30"/>
          <w:szCs w:val="30"/>
        </w:rPr>
        <w:t>西</w:t>
      </w:r>
      <w:r>
        <w:rPr>
          <w:rFonts w:hint="eastAsia" w:ascii="Times New Roman" w:hAnsi="Times New Roman" w:eastAsia="仿宋"/>
          <w:color w:val="auto"/>
          <w:sz w:val="30"/>
          <w:szCs w:val="30"/>
          <w:lang w:eastAsia="zh-CN"/>
        </w:rPr>
        <w:t>中马钦州产业园区开发</w:t>
      </w:r>
      <w:r>
        <w:rPr>
          <w:rFonts w:hint="eastAsia" w:ascii="Times New Roman" w:hAnsi="Times New Roman" w:eastAsia="仿宋"/>
          <w:color w:val="auto"/>
          <w:sz w:val="30"/>
          <w:szCs w:val="30"/>
        </w:rPr>
        <w:t>有限公司</w:t>
      </w:r>
    </w:p>
    <w:p>
      <w:pPr>
        <w:keepNext w:val="0"/>
        <w:keepLines w:val="0"/>
        <w:pageBreakBefore w:val="0"/>
        <w:widowControl w:val="0"/>
        <w:kinsoku/>
        <w:wordWrap/>
        <w:overflowPunct/>
        <w:topLinePunct w:val="0"/>
        <w:autoSpaceDE/>
        <w:autoSpaceDN/>
        <w:bidi w:val="0"/>
        <w:adjustRightInd w:val="0"/>
        <w:snapToGrid w:val="0"/>
        <w:spacing w:beforeLines="0" w:afterLines="0" w:line="500" w:lineRule="exact"/>
        <w:ind w:left="0" w:leftChars="0" w:firstLine="4830" w:firstLineChars="1610"/>
        <w:textAlignment w:val="auto"/>
        <w:rPr>
          <w:rFonts w:hint="eastAsia" w:ascii="Times New Roman" w:hAnsi="仿宋" w:eastAsia="仿宋"/>
          <w:color w:val="auto"/>
          <w:sz w:val="30"/>
          <w:szCs w:val="30"/>
        </w:rPr>
      </w:pPr>
      <w:r>
        <w:rPr>
          <w:rFonts w:ascii="Times New Roman" w:hAnsi="Times New Roman" w:eastAsia="仿宋"/>
          <w:color w:val="auto"/>
          <w:sz w:val="30"/>
          <w:szCs w:val="30"/>
        </w:rPr>
        <w:t>20</w:t>
      </w:r>
      <w:r>
        <w:rPr>
          <w:rFonts w:hint="eastAsia" w:ascii="Times New Roman" w:hAnsi="Times New Roman" w:eastAsia="仿宋"/>
          <w:color w:val="auto"/>
          <w:sz w:val="30"/>
          <w:szCs w:val="30"/>
          <w:lang w:val="en-US" w:eastAsia="zh-CN"/>
        </w:rPr>
        <w:t>23</w:t>
      </w:r>
      <w:r>
        <w:rPr>
          <w:rFonts w:ascii="Times New Roman" w:hAnsi="仿宋" w:eastAsia="仿宋"/>
          <w:color w:val="auto"/>
          <w:sz w:val="30"/>
          <w:szCs w:val="30"/>
        </w:rPr>
        <w:t>年</w:t>
      </w:r>
      <w:r>
        <w:rPr>
          <w:rFonts w:hint="eastAsia" w:ascii="Times New Roman" w:hAnsi="仿宋" w:eastAsia="仿宋"/>
          <w:color w:val="auto"/>
          <w:sz w:val="30"/>
          <w:szCs w:val="30"/>
          <w:lang w:val="en-US" w:eastAsia="zh-CN"/>
        </w:rPr>
        <w:t>6</w:t>
      </w:r>
      <w:r>
        <w:rPr>
          <w:rFonts w:ascii="Times New Roman" w:hAnsi="仿宋" w:eastAsia="仿宋"/>
          <w:color w:val="auto"/>
          <w:sz w:val="30"/>
          <w:szCs w:val="30"/>
        </w:rPr>
        <w:t>月</w:t>
      </w:r>
      <w:r>
        <w:rPr>
          <w:rFonts w:hint="eastAsia" w:ascii="Times New Roman" w:hAnsi="仿宋" w:eastAsia="仿宋"/>
          <w:color w:val="auto"/>
          <w:sz w:val="30"/>
          <w:szCs w:val="30"/>
          <w:lang w:val="en-US" w:eastAsia="zh-CN"/>
        </w:rPr>
        <w:t>16</w:t>
      </w:r>
      <w:r>
        <w:rPr>
          <w:rFonts w:ascii="Times New Roman" w:hAnsi="仿宋" w:eastAsia="仿宋"/>
          <w:color w:val="auto"/>
          <w:sz w:val="30"/>
          <w:szCs w:val="30"/>
        </w:rPr>
        <w:t>日</w:t>
      </w:r>
      <w:r>
        <w:rPr>
          <w:rFonts w:hint="eastAsia" w:ascii="Times New Roman" w:hAnsi="仿宋" w:eastAsia="仿宋"/>
          <w:color w:val="auto"/>
          <w:sz w:val="30"/>
          <w:szCs w:val="30"/>
        </w:rPr>
        <w:t xml:space="preserve"> </w:t>
      </w:r>
    </w:p>
    <w:p>
      <w:pPr>
        <w:spacing w:beforeLines="0" w:afterLines="0" w:line="570" w:lineRule="exact"/>
        <w:ind w:firstLine="640" w:firstLineChars="200"/>
        <w:rPr>
          <w:rFonts w:hint="eastAsia" w:ascii="Times New Roman" w:hAnsi="仿宋" w:eastAsia="仿宋"/>
          <w:color w:val="auto"/>
          <w:sz w:val="32"/>
          <w:szCs w:val="32"/>
        </w:rPr>
      </w:pPr>
    </w:p>
    <w:p>
      <w:pPr>
        <w:spacing w:beforeLines="0" w:afterLines="0" w:line="570" w:lineRule="exact"/>
        <w:ind w:firstLine="640" w:firstLineChars="200"/>
        <w:rPr>
          <w:rFonts w:hint="eastAsia" w:ascii="Times New Roman" w:hAnsi="仿宋" w:eastAsia="仿宋"/>
          <w:color w:val="auto"/>
          <w:sz w:val="32"/>
          <w:szCs w:val="32"/>
        </w:rPr>
      </w:pPr>
    </w:p>
    <w:p>
      <w:pPr>
        <w:spacing w:beforeLines="0" w:afterLines="0" w:line="570" w:lineRule="exact"/>
        <w:ind w:firstLine="640" w:firstLineChars="200"/>
        <w:rPr>
          <w:rFonts w:hint="eastAsia" w:ascii="Times New Roman" w:hAnsi="仿宋" w:eastAsia="仿宋"/>
          <w:color w:val="auto"/>
          <w:sz w:val="32"/>
          <w:szCs w:val="32"/>
        </w:rPr>
      </w:pPr>
    </w:p>
    <w:p>
      <w:pPr>
        <w:autoSpaceDE w:val="0"/>
        <w:autoSpaceDN w:val="0"/>
        <w:spacing w:after="280" w:afterLines="90" w:line="240" w:lineRule="atLeast"/>
        <w:jc w:val="left"/>
        <w:rPr>
          <w:rFonts w:hint="eastAsia" w:ascii="黑体" w:hAnsi="黑体" w:eastAsia="黑体" w:cs="黑体"/>
          <w:color w:val="auto"/>
          <w:sz w:val="32"/>
          <w:szCs w:val="32"/>
          <w:lang w:eastAsia="zh-CN"/>
        </w:rPr>
        <w:sectPr>
          <w:footerReference r:id="rId4" w:type="default"/>
          <w:pgSz w:w="11906" w:h="16838"/>
          <w:pgMar w:top="1814" w:right="1463" w:bottom="1587" w:left="1519"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tabs>
          <w:tab w:val="left" w:pos="0"/>
        </w:tabs>
        <w:spacing w:line="360" w:lineRule="auto"/>
        <w:jc w:val="left"/>
        <w:rPr>
          <w:rFonts w:hint="eastAsia" w:ascii="仿宋_GB2312" w:eastAsia="仿宋_GB2312"/>
          <w:b/>
          <w:color w:val="auto"/>
          <w:sz w:val="24"/>
          <w:szCs w:val="24"/>
          <w:lang w:val="en-US" w:eastAsia="zh-CN"/>
        </w:rPr>
      </w:pPr>
      <w:r>
        <w:rPr>
          <w:rFonts w:hint="eastAsia" w:ascii="仿宋_GB2312" w:eastAsia="仿宋_GB2312"/>
          <w:b/>
          <w:color w:val="auto"/>
          <w:sz w:val="24"/>
          <w:szCs w:val="24"/>
          <w:lang w:val="en-US" w:eastAsia="zh-CN"/>
        </w:rPr>
        <w:t>附件</w:t>
      </w:r>
    </w:p>
    <w:p>
      <w:pPr>
        <w:tabs>
          <w:tab w:val="left" w:pos="0"/>
        </w:tabs>
        <w:spacing w:line="360" w:lineRule="auto"/>
        <w:jc w:val="right"/>
        <w:rPr>
          <w:rFonts w:hint="default" w:ascii="仿宋_GB2312" w:eastAsia="仿宋_GB2312"/>
          <w:b/>
          <w:color w:val="auto"/>
          <w:sz w:val="24"/>
          <w:szCs w:val="24"/>
          <w:lang w:val="en-US" w:eastAsia="zh-CN"/>
        </w:rPr>
      </w:pPr>
      <w:r>
        <w:rPr>
          <w:rFonts w:hint="eastAsia" w:ascii="仿宋_GB2312" w:eastAsia="仿宋_GB2312"/>
          <w:b/>
          <w:color w:val="auto"/>
          <w:sz w:val="24"/>
          <w:szCs w:val="24"/>
        </w:rPr>
        <w:t>合同编号：</w:t>
      </w:r>
      <w:r>
        <w:rPr>
          <w:rFonts w:ascii="仿宋_GB2312" w:eastAsia="仿宋_GB2312"/>
          <w:b/>
          <w:color w:val="auto"/>
          <w:sz w:val="24"/>
          <w:szCs w:val="24"/>
        </w:rPr>
        <w:t>CMQIPSJ</w:t>
      </w:r>
      <w:r>
        <w:rPr>
          <w:rFonts w:hint="default" w:ascii="Arial" w:hAnsi="Arial" w:eastAsia="仿宋_GB2312" w:cs="Arial"/>
          <w:b/>
          <w:color w:val="auto"/>
          <w:sz w:val="24"/>
          <w:szCs w:val="24"/>
          <w:lang w:val="en-US" w:eastAsia="zh-CN"/>
        </w:rPr>
        <w:t>×××××××</w:t>
      </w:r>
    </w:p>
    <w:p>
      <w:pPr>
        <w:tabs>
          <w:tab w:val="left" w:pos="0"/>
        </w:tabs>
        <w:spacing w:line="360" w:lineRule="auto"/>
        <w:jc w:val="center"/>
        <w:rPr>
          <w:rFonts w:ascii="华文中宋" w:hAnsi="华文中宋" w:eastAsia="华文中宋"/>
          <w:b/>
          <w:color w:val="auto"/>
          <w:sz w:val="36"/>
          <w:szCs w:val="36"/>
        </w:rPr>
      </w:pPr>
      <w:r>
        <w:rPr>
          <w:rFonts w:hint="eastAsia" w:ascii="华文中宋" w:hAnsi="华文中宋" w:eastAsia="华文中宋"/>
          <w:b/>
          <w:color w:val="auto"/>
          <w:sz w:val="36"/>
          <w:szCs w:val="36"/>
        </w:rPr>
        <w:t>审计业务约定书</w:t>
      </w:r>
    </w:p>
    <w:p>
      <w:pPr>
        <w:tabs>
          <w:tab w:val="left" w:pos="0"/>
        </w:tabs>
        <w:spacing w:line="360" w:lineRule="auto"/>
        <w:rPr>
          <w:rFonts w:hint="eastAsia" w:ascii="仿宋_GB2312" w:eastAsia="仿宋_GB2312"/>
          <w:color w:val="auto"/>
          <w:sz w:val="24"/>
          <w:szCs w:val="24"/>
        </w:rPr>
      </w:pPr>
    </w:p>
    <w:p>
      <w:pPr>
        <w:tabs>
          <w:tab w:val="left" w:pos="0"/>
        </w:tabs>
        <w:spacing w:line="360" w:lineRule="auto"/>
        <w:rPr>
          <w:rFonts w:hint="eastAsia" w:ascii="仿宋_GB2312" w:eastAsia="仿宋_GB2312"/>
          <w:b/>
          <w:color w:val="auto"/>
          <w:sz w:val="24"/>
          <w:szCs w:val="24"/>
        </w:rPr>
      </w:pPr>
      <w:r>
        <w:rPr>
          <w:rFonts w:hint="eastAsia" w:ascii="仿宋_GB2312" w:eastAsia="仿宋_GB2312"/>
          <w:b/>
          <w:color w:val="auto"/>
          <w:sz w:val="24"/>
          <w:szCs w:val="24"/>
        </w:rPr>
        <w:t>甲方：</w:t>
      </w:r>
      <w:r>
        <w:rPr>
          <w:rFonts w:ascii="仿宋_GB2312" w:eastAsia="仿宋_GB2312"/>
          <w:b/>
          <w:bCs/>
          <w:color w:val="auto"/>
          <w:sz w:val="24"/>
          <w:szCs w:val="24"/>
          <w:u w:val="single"/>
        </w:rPr>
        <w:t>广西中</w:t>
      </w:r>
      <w:r>
        <w:rPr>
          <w:rFonts w:hint="eastAsia" w:ascii="仿宋_GB2312" w:eastAsia="仿宋_GB2312"/>
          <w:b/>
          <w:bCs/>
          <w:color w:val="auto"/>
          <w:sz w:val="24"/>
          <w:szCs w:val="24"/>
          <w:u w:val="single"/>
        </w:rPr>
        <w:t>马</w:t>
      </w:r>
      <w:r>
        <w:rPr>
          <w:rFonts w:ascii="仿宋_GB2312" w:eastAsia="仿宋_GB2312"/>
          <w:b/>
          <w:bCs/>
          <w:color w:val="auto"/>
          <w:sz w:val="24"/>
          <w:szCs w:val="24"/>
          <w:u w:val="single"/>
        </w:rPr>
        <w:t>钦州产业</w:t>
      </w:r>
      <w:r>
        <w:rPr>
          <w:rFonts w:hint="eastAsia" w:ascii="仿宋_GB2312" w:eastAsia="仿宋_GB2312"/>
          <w:b/>
          <w:bCs/>
          <w:color w:val="auto"/>
          <w:sz w:val="24"/>
          <w:szCs w:val="24"/>
          <w:u w:val="single"/>
        </w:rPr>
        <w:t>园</w:t>
      </w:r>
      <w:r>
        <w:rPr>
          <w:rFonts w:ascii="仿宋_GB2312" w:eastAsia="仿宋_GB2312"/>
          <w:b/>
          <w:bCs/>
          <w:color w:val="auto"/>
          <w:sz w:val="24"/>
          <w:szCs w:val="24"/>
          <w:u w:val="single"/>
        </w:rPr>
        <w:t>区开发有限公司</w:t>
      </w:r>
      <w:r>
        <w:rPr>
          <w:rFonts w:hint="eastAsia" w:ascii="仿宋_GB2312" w:eastAsia="仿宋_GB2312"/>
          <w:b/>
          <w:color w:val="auto"/>
          <w:sz w:val="24"/>
          <w:szCs w:val="24"/>
          <w:u w:val="single"/>
        </w:rPr>
        <w:t xml:space="preserve">       </w:t>
      </w:r>
      <w:r>
        <w:rPr>
          <w:rFonts w:ascii="仿宋_GB2312" w:eastAsia="仿宋_GB2312"/>
          <w:b/>
          <w:color w:val="auto"/>
          <w:sz w:val="24"/>
          <w:szCs w:val="24"/>
          <w:u w:val="single"/>
        </w:rPr>
        <w:t xml:space="preserve">  </w:t>
      </w:r>
      <w:r>
        <w:rPr>
          <w:rFonts w:hint="eastAsia" w:ascii="仿宋_GB2312" w:eastAsia="仿宋_GB2312"/>
          <w:b/>
          <w:color w:val="auto"/>
          <w:sz w:val="24"/>
          <w:szCs w:val="24"/>
          <w:u w:val="single"/>
        </w:rPr>
        <w:t xml:space="preserve"> </w:t>
      </w:r>
    </w:p>
    <w:p>
      <w:pPr>
        <w:tabs>
          <w:tab w:val="left" w:pos="0"/>
        </w:tabs>
        <w:spacing w:line="360" w:lineRule="auto"/>
        <w:rPr>
          <w:rFonts w:ascii="仿宋_GB2312" w:eastAsia="仿宋_GB2312"/>
          <w:b/>
          <w:color w:val="auto"/>
          <w:sz w:val="24"/>
          <w:szCs w:val="24"/>
        </w:rPr>
      </w:pPr>
      <w:r>
        <w:rPr>
          <w:rFonts w:hint="eastAsia" w:ascii="仿宋_GB2312" w:eastAsia="仿宋_GB2312"/>
          <w:b/>
          <w:color w:val="auto"/>
          <w:sz w:val="24"/>
          <w:szCs w:val="24"/>
        </w:rPr>
        <w:t>乙方：</w:t>
      </w:r>
      <w:r>
        <w:rPr>
          <w:rFonts w:hint="eastAsia" w:ascii="仿宋_GB2312" w:eastAsia="仿宋_GB2312"/>
          <w:b/>
          <w:bCs/>
          <w:color w:val="auto"/>
          <w:sz w:val="24"/>
          <w:szCs w:val="24"/>
          <w:u w:val="single"/>
          <w:lang w:val="en-US" w:eastAsia="zh-CN"/>
        </w:rPr>
        <w:t xml:space="preserve">                                </w:t>
      </w:r>
      <w:r>
        <w:rPr>
          <w:rFonts w:hint="eastAsia" w:ascii="仿宋_GB2312" w:eastAsia="仿宋_GB2312"/>
          <w:b/>
          <w:color w:val="auto"/>
          <w:sz w:val="24"/>
          <w:szCs w:val="24"/>
          <w:u w:val="single"/>
        </w:rPr>
        <w:t xml:space="preserve">       </w:t>
      </w:r>
      <w:r>
        <w:rPr>
          <w:rFonts w:ascii="仿宋_GB2312" w:eastAsia="仿宋_GB2312"/>
          <w:b/>
          <w:color w:val="auto"/>
          <w:sz w:val="24"/>
          <w:szCs w:val="24"/>
          <w:u w:val="single"/>
        </w:rPr>
        <w:t xml:space="preserve">  </w:t>
      </w:r>
      <w:r>
        <w:rPr>
          <w:rFonts w:hint="eastAsia" w:ascii="仿宋_GB2312" w:eastAsia="仿宋_GB2312"/>
          <w:b/>
          <w:color w:val="auto"/>
          <w:sz w:val="24"/>
          <w:szCs w:val="24"/>
          <w:u w:val="single"/>
        </w:rPr>
        <w:t xml:space="preserve"> </w:t>
      </w:r>
      <w:r>
        <w:rPr>
          <w:rFonts w:hint="eastAsia" w:ascii="Arial" w:hAnsi="Arial" w:eastAsia="仿宋_GB2312" w:cs="Arial"/>
          <w:b/>
          <w:bCs/>
          <w:color w:val="auto"/>
          <w:sz w:val="24"/>
          <w:szCs w:val="24"/>
          <w:lang w:val="en-US" w:eastAsia="zh-CN"/>
        </w:rPr>
        <w:t xml:space="preserve"> </w:t>
      </w:r>
    </w:p>
    <w:p>
      <w:pPr>
        <w:tabs>
          <w:tab w:val="left" w:pos="0"/>
        </w:tabs>
        <w:spacing w:line="360" w:lineRule="auto"/>
        <w:ind w:firstLine="482" w:firstLineChars="200"/>
        <w:jc w:val="left"/>
        <w:rPr>
          <w:rFonts w:ascii="黑体" w:hAnsi="黑体" w:eastAsia="黑体"/>
          <w:b/>
          <w:bCs/>
          <w:color w:val="auto"/>
          <w:sz w:val="24"/>
          <w:szCs w:val="24"/>
        </w:rPr>
      </w:pPr>
    </w:p>
    <w:p>
      <w:pPr>
        <w:tabs>
          <w:tab w:val="left" w:pos="0"/>
        </w:tabs>
        <w:spacing w:line="360" w:lineRule="auto"/>
        <w:ind w:firstLine="482" w:firstLineChars="200"/>
        <w:jc w:val="left"/>
        <w:rPr>
          <w:rFonts w:hint="eastAsia" w:ascii="仿宋_GB2312" w:eastAsia="仿宋_GB2312"/>
          <w:color w:val="auto"/>
          <w:sz w:val="24"/>
          <w:szCs w:val="24"/>
        </w:rPr>
      </w:pPr>
      <w:r>
        <w:rPr>
          <w:rFonts w:hint="eastAsia" w:ascii="黑体" w:hAnsi="黑体" w:eastAsia="黑体"/>
          <w:b/>
          <w:bCs/>
          <w:color w:val="auto"/>
          <w:sz w:val="24"/>
          <w:szCs w:val="24"/>
        </w:rPr>
        <w:t xml:space="preserve">【鉴 </w:t>
      </w:r>
      <w:r>
        <w:rPr>
          <w:rFonts w:ascii="黑体" w:hAnsi="黑体" w:eastAsia="黑体"/>
          <w:b/>
          <w:bCs/>
          <w:color w:val="auto"/>
          <w:sz w:val="24"/>
          <w:szCs w:val="24"/>
        </w:rPr>
        <w:t xml:space="preserve"> </w:t>
      </w:r>
      <w:r>
        <w:rPr>
          <w:rFonts w:hint="eastAsia" w:ascii="黑体" w:hAnsi="黑体" w:eastAsia="黑体"/>
          <w:b/>
          <w:bCs/>
          <w:color w:val="auto"/>
          <w:sz w:val="24"/>
          <w:szCs w:val="24"/>
        </w:rPr>
        <w:t>于】</w:t>
      </w:r>
      <w:r>
        <w:rPr>
          <w:rFonts w:hint="eastAsia" w:ascii="仿宋" w:hAnsi="仿宋" w:eastAsia="仿宋"/>
          <w:color w:val="auto"/>
          <w:sz w:val="24"/>
          <w:szCs w:val="24"/>
        </w:rPr>
        <w:t>甲方委托</w:t>
      </w:r>
      <w:r>
        <w:rPr>
          <w:rFonts w:ascii="仿宋" w:hAnsi="仿宋" w:eastAsia="仿宋"/>
          <w:color w:val="auto"/>
          <w:sz w:val="24"/>
          <w:szCs w:val="24"/>
        </w:rPr>
        <w:t>乙方对</w:t>
      </w:r>
      <w:r>
        <w:rPr>
          <w:rFonts w:ascii="仿宋" w:hAnsi="仿宋" w:eastAsia="仿宋"/>
          <w:color w:val="auto"/>
          <w:sz w:val="24"/>
          <w:szCs w:val="24"/>
          <w:u w:val="single"/>
        </w:rPr>
        <w:t>广西中</w:t>
      </w:r>
      <w:r>
        <w:rPr>
          <w:rFonts w:hint="eastAsia" w:ascii="仿宋" w:hAnsi="仿宋" w:eastAsia="仿宋"/>
          <w:color w:val="auto"/>
          <w:sz w:val="24"/>
          <w:szCs w:val="24"/>
          <w:u w:val="single"/>
        </w:rPr>
        <w:t>马</w:t>
      </w:r>
      <w:r>
        <w:rPr>
          <w:rFonts w:ascii="仿宋" w:hAnsi="仿宋" w:eastAsia="仿宋"/>
          <w:color w:val="auto"/>
          <w:sz w:val="24"/>
          <w:szCs w:val="24"/>
          <w:u w:val="single"/>
        </w:rPr>
        <w:t>钦州产业</w:t>
      </w:r>
      <w:r>
        <w:rPr>
          <w:rFonts w:hint="eastAsia" w:ascii="仿宋" w:hAnsi="仿宋" w:eastAsia="仿宋"/>
          <w:color w:val="auto"/>
          <w:sz w:val="24"/>
          <w:szCs w:val="24"/>
          <w:u w:val="single"/>
        </w:rPr>
        <w:t>园</w:t>
      </w:r>
      <w:r>
        <w:rPr>
          <w:rFonts w:ascii="仿宋" w:hAnsi="仿宋" w:eastAsia="仿宋"/>
          <w:color w:val="auto"/>
          <w:sz w:val="24"/>
          <w:szCs w:val="24"/>
          <w:u w:val="single"/>
        </w:rPr>
        <w:t>区开发有限公司</w:t>
      </w:r>
      <w:r>
        <w:rPr>
          <w:rFonts w:hint="eastAsia" w:ascii="仿宋" w:hAnsi="仿宋" w:eastAsia="仿宋"/>
          <w:color w:val="auto"/>
          <w:sz w:val="24"/>
          <w:szCs w:val="24"/>
          <w:u w:val="single"/>
        </w:rPr>
        <w:t>及甲方各级子公司（子公司名单详见附件1，以下统称被审计单位）20</w:t>
      </w:r>
      <w:r>
        <w:rPr>
          <w:rFonts w:hint="eastAsia" w:ascii="仿宋" w:hAnsi="仿宋" w:eastAsia="仿宋"/>
          <w:color w:val="auto"/>
          <w:sz w:val="24"/>
          <w:szCs w:val="24"/>
          <w:u w:val="single"/>
          <w:lang w:val="en-US" w:eastAsia="zh-CN"/>
        </w:rPr>
        <w:t xml:space="preserve">  </w:t>
      </w:r>
      <w:r>
        <w:rPr>
          <w:rFonts w:hint="eastAsia" w:ascii="仿宋" w:hAnsi="仿宋" w:eastAsia="仿宋"/>
          <w:color w:val="auto"/>
          <w:sz w:val="24"/>
          <w:szCs w:val="24"/>
        </w:rPr>
        <w:t>年度财务报表进行审计，经甲、乙双方平等友好协商，达成以下约定：</w:t>
      </w:r>
      <w:r>
        <w:rPr>
          <w:rFonts w:hint="eastAsia" w:ascii="仿宋_GB2312" w:eastAsia="仿宋_GB2312"/>
          <w:color w:val="auto"/>
          <w:sz w:val="24"/>
          <w:szCs w:val="24"/>
        </w:rPr>
        <w:t xml:space="preserve"> </w:t>
      </w:r>
    </w:p>
    <w:p>
      <w:pPr>
        <w:tabs>
          <w:tab w:val="left" w:pos="0"/>
        </w:tabs>
        <w:spacing w:line="360" w:lineRule="auto"/>
        <w:rPr>
          <w:rFonts w:ascii="仿宋_GB2312" w:eastAsia="仿宋_GB2312"/>
          <w:b/>
          <w:color w:val="auto"/>
          <w:sz w:val="24"/>
          <w:szCs w:val="24"/>
        </w:rPr>
      </w:pPr>
    </w:p>
    <w:p>
      <w:pPr>
        <w:pStyle w:val="2"/>
        <w:rPr>
          <w:rFonts w:hint="eastAsia"/>
          <w:color w:val="auto"/>
        </w:rPr>
      </w:pPr>
      <w:r>
        <w:rPr>
          <w:rFonts w:hint="eastAsia"/>
          <w:color w:val="auto"/>
        </w:rPr>
        <w:t>一、审计的目标和范围</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（一）乙方接受甲方委托，对甲方及被审计单位按照企业会计准则编制的:</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rPr>
        <w:t>12</w:t>
      </w:r>
      <w:r>
        <w:rPr>
          <w:rFonts w:hint="eastAsia" w:ascii="仿宋_GB2312" w:eastAsia="仿宋_GB2312"/>
          <w:color w:val="auto"/>
          <w:sz w:val="24"/>
          <w:szCs w:val="24"/>
        </w:rPr>
        <w:t>月</w:t>
      </w:r>
      <w:r>
        <w:rPr>
          <w:rFonts w:hint="eastAsia" w:ascii="仿宋_GB2312" w:eastAsia="仿宋_GB2312"/>
          <w:color w:val="auto"/>
          <w:sz w:val="24"/>
          <w:szCs w:val="24"/>
          <w:u w:val="single"/>
        </w:rPr>
        <w:t>31</w:t>
      </w:r>
      <w:r>
        <w:rPr>
          <w:rFonts w:hint="eastAsia" w:ascii="仿宋_GB2312" w:eastAsia="仿宋_GB2312"/>
          <w:color w:val="auto"/>
          <w:sz w:val="24"/>
          <w:szCs w:val="24"/>
        </w:rPr>
        <w:t>日资产负债表；</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rPr>
        <w:t>12</w:t>
      </w:r>
      <w:r>
        <w:rPr>
          <w:rFonts w:hint="eastAsia" w:ascii="仿宋_GB2312" w:eastAsia="仿宋_GB2312"/>
          <w:color w:val="auto"/>
          <w:sz w:val="24"/>
          <w:szCs w:val="24"/>
        </w:rPr>
        <w:t>月</w:t>
      </w:r>
      <w:r>
        <w:rPr>
          <w:rFonts w:hint="eastAsia" w:ascii="仿宋_GB2312" w:eastAsia="仿宋_GB2312"/>
          <w:color w:val="auto"/>
          <w:sz w:val="24"/>
          <w:szCs w:val="24"/>
          <w:u w:val="single"/>
        </w:rPr>
        <w:t>31</w:t>
      </w:r>
      <w:r>
        <w:rPr>
          <w:rFonts w:hint="eastAsia" w:ascii="仿宋_GB2312" w:eastAsia="仿宋_GB2312"/>
          <w:color w:val="auto"/>
          <w:sz w:val="24"/>
          <w:szCs w:val="24"/>
        </w:rPr>
        <w:t>日合并资产负债表；</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年度利润表；</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年度合并利润表；</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年度现金流量表；</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度合并现金流量表；</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年度所有者权益（或股东权益）变动表；</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年度合并所有者权益（或股东权益）变动表；</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年度财务报表附注；</w:t>
      </w:r>
    </w:p>
    <w:p>
      <w:pPr>
        <w:tabs>
          <w:tab w:val="left" w:pos="0"/>
        </w:tabs>
        <w:spacing w:line="360" w:lineRule="auto"/>
        <w:rPr>
          <w:rFonts w:hint="eastAsia" w:ascii="仿宋_GB2312" w:eastAsia="仿宋_GB2312"/>
          <w:color w:val="auto"/>
          <w:sz w:val="24"/>
          <w:szCs w:val="24"/>
        </w:rPr>
      </w:pPr>
      <w:r>
        <w:rPr>
          <w:rFonts w:hint="eastAsia" w:ascii="仿宋_GB2312" w:eastAsia="仿宋_GB2312"/>
          <w:color w:val="auto"/>
          <w:sz w:val="24"/>
          <w:szCs w:val="24"/>
        </w:rPr>
        <w:sym w:font="Wingdings 2" w:char="F052"/>
      </w:r>
      <w:r>
        <w:rPr>
          <w:rFonts w:hint="eastAsia" w:ascii="仿宋_GB2312" w:eastAsia="仿宋_GB2312"/>
          <w:color w:val="auto"/>
          <w:sz w:val="24"/>
          <w:szCs w:val="24"/>
        </w:rPr>
        <w:t xml:space="preserve">   </w:t>
      </w:r>
      <w:r>
        <w:rPr>
          <w:rFonts w:hint="eastAsia" w:ascii="仿宋_GB2312" w:eastAsia="仿宋_GB2312"/>
          <w:color w:val="auto"/>
          <w:sz w:val="24"/>
          <w:szCs w:val="24"/>
          <w:u w:val="single"/>
          <w:lang w:eastAsia="zh-CN"/>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年度合并财务报表附注；</w:t>
      </w:r>
    </w:p>
    <w:p>
      <w:pPr>
        <w:tabs>
          <w:tab w:val="left" w:pos="0"/>
        </w:tabs>
        <w:spacing w:line="360" w:lineRule="auto"/>
        <w:jc w:val="left"/>
        <w:rPr>
          <w:rFonts w:hint="eastAsia" w:ascii="仿宋_GB2312" w:eastAsia="仿宋_GB2312"/>
          <w:color w:val="auto"/>
          <w:sz w:val="24"/>
          <w:szCs w:val="24"/>
        </w:rPr>
      </w:pPr>
      <w:r>
        <w:rPr>
          <w:rFonts w:hint="eastAsia" w:ascii="仿宋_GB2312" w:eastAsia="仿宋_GB2312"/>
          <w:color w:val="auto"/>
          <w:sz w:val="24"/>
          <w:szCs w:val="24"/>
        </w:rPr>
        <w:t>(以下统称财务报表)进行审计。</w:t>
      </w:r>
    </w:p>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80" w:firstLineChars="200"/>
        <w:textAlignment w:val="auto"/>
        <w:rPr>
          <w:rFonts w:hint="eastAsia" w:ascii="仿宋_GB2312" w:eastAsia="仿宋_GB2312"/>
          <w:color w:val="auto"/>
          <w:sz w:val="24"/>
          <w:szCs w:val="24"/>
        </w:rPr>
      </w:pPr>
      <w:r>
        <w:rPr>
          <w:rFonts w:hint="eastAsia" w:ascii="仿宋_GB2312" w:eastAsia="仿宋_GB2312"/>
          <w:color w:val="auto"/>
          <w:sz w:val="24"/>
          <w:szCs w:val="24"/>
        </w:rPr>
        <w:t>（二）乙方审计工作的目标是对财务报表整体是否不存在由于舞弊或错误导致的重大错报获取合理保证，并出具包含审计意见的审计报告。合理保证是高水平的保证，但并不能保证按照审计准则执行的审计在某一重大错报存在时总能发现。错报可能由于舞弊或错误导致，如果合理预期错报单独或汇总起来可能影响财务报表使用者依据财务报表作出的经济决策，则通常认为错报是重大的。</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（三）乙方通过执行审计工作，对财务报表的下列方面发表审计意见：</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1</w:t>
      </w:r>
      <w:r>
        <w:rPr>
          <w:rFonts w:ascii="仿宋_GB2312" w:eastAsia="仿宋_GB2312"/>
          <w:color w:val="auto"/>
          <w:sz w:val="24"/>
          <w:szCs w:val="24"/>
        </w:rPr>
        <w:t xml:space="preserve">. </w:t>
      </w:r>
      <w:r>
        <w:rPr>
          <w:rFonts w:hint="eastAsia" w:ascii="仿宋_GB2312" w:eastAsia="仿宋_GB2312"/>
          <w:color w:val="auto"/>
          <w:sz w:val="24"/>
          <w:szCs w:val="24"/>
        </w:rPr>
        <w:t>财务报表是否在所有重大方面按照企业会计准则的规定编制；</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2</w:t>
      </w:r>
      <w:r>
        <w:rPr>
          <w:rFonts w:ascii="仿宋_GB2312" w:eastAsia="仿宋_GB2312"/>
          <w:color w:val="auto"/>
          <w:sz w:val="24"/>
          <w:szCs w:val="24"/>
        </w:rPr>
        <w:t xml:space="preserve">. </w:t>
      </w:r>
      <w:r>
        <w:rPr>
          <w:rFonts w:hint="eastAsia" w:ascii="仿宋_GB2312" w:eastAsia="仿宋_GB2312"/>
          <w:color w:val="auto"/>
          <w:sz w:val="24"/>
          <w:szCs w:val="24"/>
        </w:rPr>
        <w:t>财务报表是否在所有重大方面公允反映了被审计单位</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rPr>
        <w:t>12</w:t>
      </w:r>
      <w:r>
        <w:rPr>
          <w:rFonts w:hint="eastAsia" w:ascii="仿宋_GB2312" w:eastAsia="仿宋_GB2312"/>
          <w:color w:val="auto"/>
          <w:sz w:val="24"/>
          <w:szCs w:val="24"/>
        </w:rPr>
        <w:t>月</w:t>
      </w:r>
      <w:r>
        <w:rPr>
          <w:rFonts w:ascii="仿宋_GB2312" w:eastAsia="仿宋_GB2312"/>
          <w:color w:val="auto"/>
          <w:sz w:val="24"/>
          <w:szCs w:val="24"/>
          <w:u w:val="single"/>
        </w:rPr>
        <w:t>31</w:t>
      </w:r>
      <w:r>
        <w:rPr>
          <w:rFonts w:hint="eastAsia" w:ascii="仿宋_GB2312" w:eastAsia="仿宋_GB2312"/>
          <w:color w:val="auto"/>
          <w:sz w:val="24"/>
          <w:szCs w:val="24"/>
        </w:rPr>
        <w:t>日的财务状况以及</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年度的经营成果和现金流量。</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（四）乙方接受甲方委托，对甲方截至</w:t>
      </w:r>
      <w:r>
        <w:rPr>
          <w:rFonts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ascii="仿宋_GB2312" w:eastAsia="仿宋_GB2312"/>
          <w:color w:val="auto"/>
          <w:sz w:val="24"/>
          <w:szCs w:val="24"/>
        </w:rPr>
        <w:t>12</w:t>
      </w:r>
      <w:r>
        <w:rPr>
          <w:rFonts w:hint="eastAsia" w:ascii="仿宋_GB2312" w:eastAsia="仿宋_GB2312"/>
          <w:color w:val="auto"/>
          <w:sz w:val="24"/>
          <w:szCs w:val="24"/>
        </w:rPr>
        <w:t>月</w:t>
      </w:r>
      <w:r>
        <w:rPr>
          <w:rFonts w:ascii="仿宋_GB2312" w:eastAsia="仿宋_GB2312"/>
          <w:color w:val="auto"/>
          <w:sz w:val="24"/>
          <w:szCs w:val="24"/>
        </w:rPr>
        <w:t>31</w:t>
      </w:r>
      <w:r>
        <w:rPr>
          <w:rFonts w:hint="eastAsia" w:ascii="仿宋_GB2312" w:eastAsia="仿宋_GB2312"/>
          <w:color w:val="auto"/>
          <w:sz w:val="24"/>
          <w:szCs w:val="24"/>
        </w:rPr>
        <w:t>日按照《企业内部控制基本规范》和相关规定建立的内部控制设计与运用进行审计并对其有效性发表审计意见。</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（五）本审计业务约定书所约定的需要单独出具审计报告的被审计单位名单附后，以双方签字并盖章确认为准。</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（六）乙方向甲方出具合并审计报告（中、英文版）、合并管理建议书（中、英文版）及合并内部控制审计报告（中、英文版）。</w:t>
      </w:r>
    </w:p>
    <w:p>
      <w:pPr>
        <w:pStyle w:val="2"/>
        <w:rPr>
          <w:rFonts w:hint="eastAsia"/>
          <w:color w:val="auto"/>
        </w:rPr>
      </w:pPr>
      <w:r>
        <w:rPr>
          <w:rFonts w:hint="eastAsia"/>
          <w:color w:val="auto"/>
        </w:rPr>
        <w:t>二、甲方的责任</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一）根据《中华人民共和国会计法》及《企业财务会计报告条例》，甲方、被审计单位及相关负责人有责任保证会计资料的真实性和完整性。因此，甲方及被审计单位管理层有责任妥善保存并向乙方提供会计记录（包括但不限于会计凭证、会计账簿、会计报表及其他交易资料、会计资料），这些记录必须真实、完整地反映甲方及被审计单位的财务状况、经营成果和现金流量。</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（二）按照企业会计准则的规定编制和公允列报财务报表是甲方及被审计单位管理层的责任，这种责任包括：</w:t>
      </w:r>
    </w:p>
    <w:p>
      <w:pPr>
        <w:tabs>
          <w:tab w:val="left" w:pos="0"/>
        </w:tabs>
        <w:spacing w:line="360" w:lineRule="auto"/>
        <w:ind w:firstLine="480" w:firstLineChars="200"/>
        <w:rPr>
          <w:rFonts w:ascii="仿宋_GB2312" w:eastAsia="仿宋_GB2312"/>
          <w:color w:val="auto"/>
          <w:sz w:val="24"/>
          <w:szCs w:val="24"/>
        </w:rPr>
      </w:pPr>
      <w:r>
        <w:rPr>
          <w:rFonts w:ascii="仿宋_GB2312" w:eastAsia="仿宋_GB2312"/>
          <w:color w:val="auto"/>
          <w:sz w:val="24"/>
          <w:szCs w:val="24"/>
        </w:rPr>
        <w:t xml:space="preserve">1. </w:t>
      </w:r>
      <w:r>
        <w:rPr>
          <w:rFonts w:hint="eastAsia" w:ascii="仿宋_GB2312" w:eastAsia="仿宋_GB2312"/>
          <w:color w:val="auto"/>
          <w:sz w:val="24"/>
          <w:szCs w:val="24"/>
        </w:rPr>
        <w:t>按照企业会计准则的规定编制财务报表，并使其实现公允反映；</w:t>
      </w:r>
    </w:p>
    <w:p>
      <w:pPr>
        <w:tabs>
          <w:tab w:val="left" w:pos="0"/>
        </w:tabs>
        <w:spacing w:line="360" w:lineRule="auto"/>
        <w:ind w:firstLine="480" w:firstLineChars="200"/>
        <w:rPr>
          <w:rFonts w:hint="eastAsia" w:ascii="仿宋_GB2312" w:eastAsia="仿宋_GB2312"/>
          <w:color w:val="auto"/>
          <w:sz w:val="24"/>
          <w:szCs w:val="24"/>
        </w:rPr>
      </w:pPr>
      <w:r>
        <w:rPr>
          <w:rFonts w:ascii="仿宋_GB2312" w:eastAsia="仿宋_GB2312"/>
          <w:color w:val="auto"/>
          <w:sz w:val="24"/>
          <w:szCs w:val="24"/>
        </w:rPr>
        <w:t xml:space="preserve">2. </w:t>
      </w:r>
      <w:r>
        <w:rPr>
          <w:rFonts w:hint="eastAsia" w:ascii="仿宋_GB2312" w:eastAsia="仿宋_GB2312"/>
          <w:color w:val="auto"/>
          <w:sz w:val="24"/>
          <w:szCs w:val="24"/>
        </w:rPr>
        <w:t>设计、执行和维护必要的内部控制，以使财务报表不存在由于舞弊或错误导致的重大错报。</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（三）在编制财务报表时，甲方及被审计单位管理层负责评估甲方及被审计单位的持续经营能力，</w:t>
      </w:r>
      <w:r>
        <w:rPr>
          <w:rFonts w:ascii="仿宋_GB2312" w:eastAsia="仿宋_GB2312"/>
          <w:color w:val="auto"/>
          <w:sz w:val="24"/>
          <w:szCs w:val="24"/>
        </w:rPr>
        <w:t>必须时披露与持续经营相关的事项，并运用持续经营假设，除非</w:t>
      </w:r>
      <w:r>
        <w:rPr>
          <w:rFonts w:hint="eastAsia" w:ascii="仿宋_GB2312" w:eastAsia="仿宋_GB2312"/>
          <w:color w:val="auto"/>
          <w:sz w:val="24"/>
          <w:szCs w:val="24"/>
        </w:rPr>
        <w:t>管理层计划清算、</w:t>
      </w:r>
      <w:r>
        <w:rPr>
          <w:rFonts w:ascii="仿宋_GB2312" w:eastAsia="仿宋_GB2312"/>
          <w:color w:val="auto"/>
          <w:sz w:val="24"/>
          <w:szCs w:val="24"/>
        </w:rPr>
        <w:t>终止运营或别无其他现实的选择。甲方</w:t>
      </w:r>
      <w:r>
        <w:rPr>
          <w:rFonts w:hint="eastAsia" w:ascii="仿宋_GB2312" w:eastAsia="仿宋_GB2312"/>
          <w:color w:val="auto"/>
          <w:sz w:val="24"/>
          <w:szCs w:val="24"/>
        </w:rPr>
        <w:t>及被审计单位</w:t>
      </w:r>
      <w:r>
        <w:rPr>
          <w:rFonts w:ascii="仿宋_GB2312" w:eastAsia="仿宋_GB2312"/>
          <w:color w:val="auto"/>
          <w:sz w:val="24"/>
          <w:szCs w:val="24"/>
        </w:rPr>
        <w:t>治理层负责</w:t>
      </w:r>
      <w:r>
        <w:rPr>
          <w:rFonts w:hint="eastAsia" w:ascii="仿宋_GB2312" w:eastAsia="仿宋_GB2312"/>
          <w:color w:val="auto"/>
          <w:sz w:val="24"/>
          <w:szCs w:val="24"/>
        </w:rPr>
        <w:t>监督甲方及被审计单位的财务报告过程。</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（四）及时为乙方的审计工作提供与审计有关的所有记录、文件和所需的其他信息在</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月</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日之前提供审计所需的全部资料，如果在审计过程中需要补充资料，亦应按乙方要求及时提供，并保证所提供资料的真实性和完整性。</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（五）确保乙方不受限制地接触其认为必要的甲方及被审计单位内部人员和其他相关人员。</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（六）甲方及被审计单位管理层对其作出的与审计有关的声明予以书面确认。</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（七）为乙方派出的有关工作人员提供必要的工作条件和协助，乙方将于外勤工作开始前提供主要事项清单。</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（八）按照本约定书的约定及时足额支付审计费用。</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（九）乙方的审计不能减轻甲方及甲方管理层、被审计单位及其管理层的责任。</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十）根据《中华人民共和国会计法》及《企业内部控制基本规范》，甲方及被审计单位有责任设计、执行和维护有效的内部控制，制定本公司的内部控制制度并组织其实施，并对本公司内部控制的有效性进行自我评价，披露年度自我评价报告。</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（十一）向乙方提供执行上述审计工作所需要的其他信息，包括但不限于：</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1、就甲方及被审计单位注意到的、自审计报告日至内部控制评价报告报出日之间发生的可能影响内部控制的事项，及时告知乙方；</w:t>
      </w:r>
    </w:p>
    <w:p>
      <w:pPr>
        <w:tabs>
          <w:tab w:val="left" w:pos="0"/>
        </w:tabs>
        <w:spacing w:line="360" w:lineRule="auto"/>
        <w:ind w:firstLine="480" w:firstLineChars="200"/>
        <w:rPr>
          <w:rFonts w:ascii="仿宋_GB2312" w:eastAsia="仿宋_GB2312"/>
          <w:color w:val="auto"/>
          <w:sz w:val="24"/>
          <w:szCs w:val="24"/>
        </w:rPr>
      </w:pPr>
      <w:r>
        <w:rPr>
          <w:rFonts w:ascii="仿宋_GB2312" w:eastAsia="仿宋_GB2312"/>
          <w:color w:val="auto"/>
          <w:sz w:val="24"/>
          <w:szCs w:val="24"/>
        </w:rPr>
        <w:t>2</w:t>
      </w:r>
      <w:r>
        <w:rPr>
          <w:rFonts w:hint="eastAsia" w:ascii="仿宋_GB2312" w:eastAsia="仿宋_GB2312"/>
          <w:color w:val="auto"/>
          <w:sz w:val="24"/>
          <w:szCs w:val="24"/>
        </w:rPr>
        <w:t>、就甲方及被审计单位管理层和治理层与监管机构关于内部控制事项进行的重要沟通，及时告知乙方；</w:t>
      </w:r>
    </w:p>
    <w:p>
      <w:pPr>
        <w:tabs>
          <w:tab w:val="left" w:pos="0"/>
        </w:tabs>
        <w:spacing w:line="360" w:lineRule="auto"/>
        <w:ind w:firstLine="480" w:firstLineChars="200"/>
        <w:rPr>
          <w:rFonts w:ascii="仿宋_GB2312" w:eastAsia="仿宋_GB2312"/>
          <w:color w:val="auto"/>
          <w:sz w:val="24"/>
          <w:szCs w:val="24"/>
        </w:rPr>
      </w:pPr>
      <w:r>
        <w:rPr>
          <w:rFonts w:ascii="仿宋_GB2312" w:eastAsia="仿宋_GB2312"/>
          <w:color w:val="auto"/>
          <w:sz w:val="24"/>
          <w:szCs w:val="24"/>
        </w:rPr>
        <w:t>3</w:t>
      </w:r>
      <w:r>
        <w:rPr>
          <w:rFonts w:hint="eastAsia" w:ascii="仿宋_GB2312" w:eastAsia="仿宋_GB2312"/>
          <w:color w:val="auto"/>
          <w:sz w:val="24"/>
          <w:szCs w:val="24"/>
        </w:rPr>
        <w:t>、就甲方及被审计单位管理层己经知悉的、可能影响内部控制的所有违反或可能违反法律法规的情况，及时告知乙方；</w:t>
      </w:r>
    </w:p>
    <w:p>
      <w:pPr>
        <w:tabs>
          <w:tab w:val="left" w:pos="0"/>
        </w:tabs>
        <w:spacing w:line="360" w:lineRule="auto"/>
        <w:ind w:firstLine="480" w:firstLineChars="200"/>
        <w:rPr>
          <w:rFonts w:ascii="仿宋_GB2312" w:eastAsia="仿宋_GB2312"/>
          <w:color w:val="auto"/>
          <w:sz w:val="24"/>
          <w:szCs w:val="24"/>
        </w:rPr>
      </w:pPr>
      <w:r>
        <w:rPr>
          <w:rFonts w:ascii="仿宋_GB2312" w:eastAsia="仿宋_GB2312"/>
          <w:color w:val="auto"/>
          <w:sz w:val="24"/>
          <w:szCs w:val="24"/>
        </w:rPr>
        <w:t>4</w:t>
      </w:r>
      <w:r>
        <w:rPr>
          <w:rFonts w:hint="eastAsia" w:ascii="仿宋_GB2312" w:eastAsia="仿宋_GB2312"/>
          <w:color w:val="auto"/>
          <w:sz w:val="24"/>
          <w:szCs w:val="24"/>
        </w:rPr>
        <w:t>、就甲方及被审计单位管理层和治理层己经知悉的任何影晌甲方及被审计单位的舞弊、舞弊嫌疑或舞弊指控，及时告知乙方；</w:t>
      </w:r>
    </w:p>
    <w:p>
      <w:pPr>
        <w:tabs>
          <w:tab w:val="left" w:pos="0"/>
        </w:tabs>
        <w:spacing w:line="360" w:lineRule="auto"/>
        <w:ind w:firstLine="480" w:firstLineChars="200"/>
        <w:rPr>
          <w:rFonts w:ascii="仿宋_GB2312" w:eastAsia="仿宋_GB2312"/>
          <w:color w:val="auto"/>
          <w:sz w:val="24"/>
          <w:szCs w:val="24"/>
        </w:rPr>
      </w:pPr>
      <w:r>
        <w:rPr>
          <w:rFonts w:ascii="仿宋_GB2312" w:eastAsia="仿宋_GB2312"/>
          <w:color w:val="auto"/>
          <w:sz w:val="24"/>
          <w:szCs w:val="24"/>
        </w:rPr>
        <w:t>5</w:t>
      </w:r>
      <w:r>
        <w:rPr>
          <w:rFonts w:hint="eastAsia" w:ascii="仿宋_GB2312" w:eastAsia="仿宋_GB2312"/>
          <w:color w:val="auto"/>
          <w:sz w:val="24"/>
          <w:szCs w:val="24"/>
        </w:rPr>
        <w:t>、就甲方及被审计单位管理层己经履行其责任提供书面声明，如果乙方认为有必要获取其他证据的书面声明，亦应及时提供：</w:t>
      </w:r>
    </w:p>
    <w:p>
      <w:pPr>
        <w:tabs>
          <w:tab w:val="left" w:pos="0"/>
        </w:tabs>
        <w:spacing w:line="360" w:lineRule="auto"/>
        <w:ind w:firstLine="480" w:firstLineChars="200"/>
        <w:rPr>
          <w:rFonts w:hint="eastAsia" w:ascii="仿宋_GB2312" w:eastAsia="仿宋_GB2312"/>
          <w:color w:val="auto"/>
          <w:sz w:val="24"/>
          <w:szCs w:val="24"/>
        </w:rPr>
      </w:pPr>
      <w:r>
        <w:rPr>
          <w:rFonts w:ascii="仿宋_GB2312" w:eastAsia="仿宋_GB2312"/>
          <w:color w:val="auto"/>
          <w:sz w:val="24"/>
          <w:szCs w:val="24"/>
        </w:rPr>
        <w:t>6</w:t>
      </w:r>
      <w:r>
        <w:rPr>
          <w:rFonts w:hint="eastAsia" w:ascii="仿宋_GB2312" w:eastAsia="仿宋_GB2312"/>
          <w:color w:val="auto"/>
          <w:sz w:val="24"/>
          <w:szCs w:val="24"/>
        </w:rPr>
        <w:t>、就甲方及被审计单位将与内部控制评价报告一同公布或报送的其他文件，及时提供给乙方。</w:t>
      </w:r>
    </w:p>
    <w:p>
      <w:pPr>
        <w:pStyle w:val="2"/>
        <w:rPr>
          <w:rFonts w:hint="eastAsia"/>
          <w:color w:val="auto"/>
        </w:rPr>
      </w:pPr>
      <w:r>
        <w:rPr>
          <w:rFonts w:hint="eastAsia"/>
          <w:color w:val="auto"/>
        </w:rPr>
        <w:t>三、乙方的责任</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（一）</w:t>
      </w:r>
      <w:r>
        <w:rPr>
          <w:rFonts w:ascii="仿宋_GB2312" w:eastAsia="仿宋_GB2312"/>
          <w:color w:val="auto"/>
          <w:sz w:val="24"/>
          <w:szCs w:val="24"/>
        </w:rPr>
        <w:t>乙方按照中国注册会计师审计准则（以下简称审计准则）的</w:t>
      </w:r>
      <w:r>
        <w:rPr>
          <w:rFonts w:hint="eastAsia" w:ascii="仿宋_GB2312" w:eastAsia="仿宋_GB2312"/>
          <w:color w:val="auto"/>
          <w:sz w:val="24"/>
          <w:szCs w:val="24"/>
        </w:rPr>
        <w:t>规定执行审计工作。审计准则要求注册会计师遵守中国注册会计师职业道德守则。</w:t>
      </w:r>
      <w:r>
        <w:rPr>
          <w:rFonts w:ascii="仿宋_GB2312" w:eastAsia="仿宋_GB2312"/>
          <w:color w:val="auto"/>
          <w:sz w:val="24"/>
          <w:szCs w:val="24"/>
        </w:rPr>
        <w:t xml:space="preserve"> 在执行审计的过程中，乙方需要运用职业判断，保持职</w:t>
      </w:r>
      <w:r>
        <w:rPr>
          <w:rFonts w:hint="eastAsia" w:ascii="仿宋_GB2312" w:eastAsia="仿宋_GB2312"/>
          <w:color w:val="auto"/>
          <w:sz w:val="24"/>
          <w:szCs w:val="24"/>
        </w:rPr>
        <w:t xml:space="preserve">业怀疑。 </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（二）</w:t>
      </w:r>
      <w:r>
        <w:rPr>
          <w:rFonts w:ascii="仿宋_GB2312" w:eastAsia="仿宋_GB2312"/>
          <w:color w:val="auto"/>
          <w:sz w:val="24"/>
          <w:szCs w:val="24"/>
        </w:rPr>
        <w:t>乙方识别和评估由于舞弊或错误导致的财务报表重大错报风</w:t>
      </w:r>
      <w:r>
        <w:rPr>
          <w:rFonts w:hint="eastAsia" w:ascii="仿宋_GB2312" w:eastAsia="仿宋_GB2312"/>
          <w:color w:val="auto"/>
          <w:sz w:val="24"/>
          <w:szCs w:val="24"/>
        </w:rPr>
        <w:t>险，</w:t>
      </w:r>
      <w:r>
        <w:rPr>
          <w:rFonts w:ascii="仿宋_GB2312" w:eastAsia="仿宋_GB2312"/>
          <w:color w:val="auto"/>
          <w:sz w:val="24"/>
          <w:szCs w:val="24"/>
        </w:rPr>
        <w:t>设计和实施审计程序以应对这些风险，并获取充分、适当的审计</w:t>
      </w:r>
      <w:r>
        <w:rPr>
          <w:rFonts w:hint="eastAsia" w:ascii="仿宋_GB2312" w:eastAsia="仿宋_GB2312"/>
          <w:color w:val="auto"/>
          <w:sz w:val="24"/>
          <w:szCs w:val="24"/>
        </w:rPr>
        <w:t>证据，作为发表审计意见的基础。由于舞弊可能涉及串通、伪造、故意遗漏、虚假陈述或凌驾于内部控制之上，未能发现由于舞弊导致的重大错报的风险高于未能发现由于错误导致的重大错报的风险。</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（三）</w:t>
      </w:r>
      <w:r>
        <w:rPr>
          <w:rFonts w:ascii="仿宋_GB2312" w:eastAsia="仿宋_GB2312"/>
          <w:color w:val="auto"/>
          <w:sz w:val="24"/>
          <w:szCs w:val="24"/>
        </w:rPr>
        <w:t>乙方了解与审计相关的内部控制，以设计恰当的审计程序。</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（四）</w:t>
      </w:r>
      <w:r>
        <w:rPr>
          <w:rFonts w:ascii="仿宋_GB2312" w:eastAsia="仿宋_GB2312"/>
          <w:color w:val="auto"/>
          <w:sz w:val="24"/>
          <w:szCs w:val="24"/>
        </w:rPr>
        <w:t>乙方评价管理层选用会计政策的恰当性和作出会计估计及相</w:t>
      </w:r>
      <w:r>
        <w:rPr>
          <w:rFonts w:hint="eastAsia" w:ascii="仿宋_GB2312" w:eastAsia="仿宋_GB2312"/>
          <w:color w:val="auto"/>
          <w:sz w:val="24"/>
          <w:szCs w:val="24"/>
        </w:rPr>
        <w:t>关披露的合理性。</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（五）</w:t>
      </w:r>
      <w:r>
        <w:rPr>
          <w:rFonts w:ascii="仿宋_GB2312" w:eastAsia="仿宋_GB2312"/>
          <w:color w:val="auto"/>
          <w:sz w:val="24"/>
          <w:szCs w:val="24"/>
        </w:rPr>
        <w:t>乙方对甲方</w:t>
      </w:r>
      <w:r>
        <w:rPr>
          <w:rFonts w:hint="eastAsia" w:ascii="仿宋_GB2312" w:eastAsia="仿宋_GB2312"/>
          <w:color w:val="auto"/>
          <w:sz w:val="24"/>
          <w:szCs w:val="24"/>
        </w:rPr>
        <w:t>及被审计单位</w:t>
      </w:r>
      <w:r>
        <w:rPr>
          <w:rFonts w:ascii="仿宋_GB2312" w:eastAsia="仿宋_GB2312"/>
          <w:color w:val="auto"/>
          <w:sz w:val="24"/>
          <w:szCs w:val="24"/>
        </w:rPr>
        <w:t>管理层使用持续经营假设的恰当性得出结论。同</w:t>
      </w:r>
      <w:r>
        <w:rPr>
          <w:rFonts w:hint="eastAsia" w:ascii="仿宋_GB2312" w:eastAsia="仿宋_GB2312"/>
          <w:color w:val="auto"/>
          <w:sz w:val="24"/>
          <w:szCs w:val="24"/>
        </w:rPr>
        <w:t>时，根据获取的审计证据，就可能导致对甲方及被审计单位持续经营能力产生重大疑虑的事项或情况是否存在重大不确定性得出结论。如果乙方得出结论认为存在重大不确定性，应当在审计报告中提请报表使用者注意财务报表中的相关披露；如果披露不充分，乙方应当发表非无保留意见。乙方的结论基于截至审计报告日可获得的信息。然而，未来的事项或情况可能导致甲方及被审计单位不能持续经营。</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（六）</w:t>
      </w:r>
      <w:r>
        <w:rPr>
          <w:rFonts w:ascii="仿宋_GB2312" w:eastAsia="仿宋_GB2312"/>
          <w:color w:val="auto"/>
          <w:sz w:val="24"/>
          <w:szCs w:val="24"/>
        </w:rPr>
        <w:t>乙方评价财务报表的总体列报、结构和内容（包括披露），并</w:t>
      </w:r>
      <w:r>
        <w:rPr>
          <w:rFonts w:hint="eastAsia" w:ascii="仿宋_GB2312" w:eastAsia="仿宋_GB2312"/>
          <w:color w:val="auto"/>
          <w:sz w:val="24"/>
          <w:szCs w:val="24"/>
        </w:rPr>
        <w:t>评价财务报表是否公允反映相关交易和事项。</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（七）</w:t>
      </w:r>
      <w:r>
        <w:rPr>
          <w:rFonts w:ascii="仿宋_GB2312" w:eastAsia="仿宋_GB2312"/>
          <w:color w:val="auto"/>
          <w:sz w:val="24"/>
          <w:szCs w:val="24"/>
        </w:rPr>
        <w:t>乙方从与甲方</w:t>
      </w:r>
      <w:r>
        <w:rPr>
          <w:rFonts w:hint="eastAsia" w:ascii="仿宋_GB2312" w:eastAsia="仿宋_GB2312"/>
          <w:color w:val="auto"/>
          <w:sz w:val="24"/>
          <w:szCs w:val="24"/>
        </w:rPr>
        <w:t>及被审计单位</w:t>
      </w:r>
      <w:r>
        <w:rPr>
          <w:rFonts w:ascii="仿宋_GB2312" w:eastAsia="仿宋_GB2312"/>
          <w:color w:val="auto"/>
          <w:sz w:val="24"/>
          <w:szCs w:val="24"/>
        </w:rPr>
        <w:t>治理层沟通过的事项中，确定对本期财务报表</w:t>
      </w:r>
      <w:r>
        <w:rPr>
          <w:rFonts w:hint="eastAsia" w:ascii="仿宋_GB2312" w:eastAsia="仿宋_GB2312"/>
          <w:color w:val="auto"/>
          <w:sz w:val="24"/>
          <w:szCs w:val="24"/>
        </w:rPr>
        <w:t>审计最为重要的事项（关键审计事项），并在审计报告中描述这些事项（如适用）。</w:t>
      </w:r>
      <w:r>
        <w:rPr>
          <w:rFonts w:ascii="仿宋_GB2312" w:eastAsia="仿宋_GB2312"/>
          <w:color w:val="auto"/>
          <w:sz w:val="24"/>
          <w:szCs w:val="24"/>
        </w:rPr>
        <w:t>这些事项的应对以对财务报表整体进行审计并形成审</w:t>
      </w:r>
      <w:r>
        <w:rPr>
          <w:rFonts w:hint="eastAsia" w:ascii="仿宋_GB2312" w:eastAsia="仿宋_GB2312"/>
          <w:color w:val="auto"/>
          <w:sz w:val="24"/>
          <w:szCs w:val="24"/>
        </w:rPr>
        <w:t>计意见为背景，</w:t>
      </w:r>
      <w:r>
        <w:rPr>
          <w:rFonts w:ascii="仿宋_GB2312" w:eastAsia="仿宋_GB2312"/>
          <w:color w:val="auto"/>
          <w:sz w:val="24"/>
          <w:szCs w:val="24"/>
        </w:rPr>
        <w:t>乙方不对这些事项单独发表意见。</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仿宋_GB2312" w:eastAsia="仿宋_GB2312"/>
          <w:color w:val="auto"/>
          <w:sz w:val="24"/>
          <w:szCs w:val="24"/>
        </w:rPr>
      </w:pPr>
      <w:r>
        <w:rPr>
          <w:rFonts w:hint="eastAsia" w:ascii="仿宋_GB2312" w:eastAsia="仿宋_GB2312"/>
          <w:color w:val="auto"/>
          <w:sz w:val="24"/>
          <w:szCs w:val="24"/>
        </w:rPr>
        <w:t>（八）乙方的责任是在执行审计工作的基础上对甲方及被审计单位财务报告内部控制的有效性发表审计意见。乙方根据《企业内部控制审计指引》及相关中国注册会计师执业准则的规定执行审计工作。该指引及相关执业准则要求注册会计师遵守中国注册会计师职业道德守则，计划和执行审计工作以对甲方及被审计单位在所有重大方面是否保持了有效的财务报告内部控制获取合理保证。</w:t>
      </w:r>
    </w:p>
    <w:p>
      <w:pPr>
        <w:keepNext w:val="0"/>
        <w:keepLines w:val="0"/>
        <w:pageBreakBefore w:val="0"/>
        <w:widowControl w:val="0"/>
        <w:tabs>
          <w:tab w:val="left" w:pos="0"/>
        </w:tabs>
        <w:kinsoku/>
        <w:wordWrap/>
        <w:overflowPunct/>
        <w:topLinePunct w:val="0"/>
        <w:autoSpaceDE/>
        <w:autoSpaceDN/>
        <w:bidi w:val="0"/>
        <w:adjustRightInd w:val="0"/>
        <w:snapToGrid w:val="0"/>
        <w:spacing w:line="360" w:lineRule="auto"/>
        <w:ind w:firstLine="480" w:firstLineChars="200"/>
        <w:textAlignment w:val="auto"/>
        <w:rPr>
          <w:rFonts w:hint="eastAsia" w:ascii="仿宋_GB2312" w:eastAsia="仿宋_GB2312"/>
          <w:color w:val="auto"/>
          <w:sz w:val="24"/>
          <w:szCs w:val="24"/>
        </w:rPr>
      </w:pPr>
      <w:r>
        <w:rPr>
          <w:rFonts w:hint="eastAsia" w:ascii="仿宋_GB2312" w:eastAsia="仿宋_GB2312"/>
          <w:color w:val="auto"/>
          <w:sz w:val="24"/>
          <w:szCs w:val="24"/>
        </w:rPr>
        <w:t>（九）审计工作涉及实施审计程序，以获取与财务报告内部控制有关的审计证据。选择的审计程序取决于乙方的判断，包括评估重大缺陷存在的风险，根据评估的风险测试和评价内部控制设计和运行的有效性。审计工作还包括实施乙方认为必要的其他程序。</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十）内部控制具有固有局限性，存在不能防止和发现错报的可能性；此外，由于情况的变化可能导致内部控制变得不恰当，或对控制政策和程序遵循程度降低，因此，根据内部控制审计结果推测未来内部控制的有效性具有一定风险。</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十一）在审计过程中，乙方若发现甲方及被审计单位存在乙方认为值得关注的内部控制缺陷，应以书面形式向甲方及被审计单位治理层或管理层通报。但乙方通报的各种事项，并不代表已全面说明所有可能存在的缺陷或已提出所有可行的改进建议。甲方及被审计单位在实施乙方提出的改进建议前应全面评估其影响。未经乙方书面许可，甲方及被审计单位不得向任何第三方提供乙方出具的沟通文件，除非法律法规另有要求。</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（十二）</w:t>
      </w:r>
      <w:r>
        <w:rPr>
          <w:rFonts w:ascii="仿宋_GB2312" w:eastAsia="仿宋_GB2312"/>
          <w:color w:val="auto"/>
          <w:sz w:val="24"/>
          <w:szCs w:val="24"/>
        </w:rPr>
        <w:t>由于审计和内部控制的固有限制，即使按照审计准则的规定</w:t>
      </w:r>
      <w:r>
        <w:rPr>
          <w:rFonts w:hint="eastAsia" w:ascii="仿宋_GB2312" w:eastAsia="仿宋_GB2312"/>
          <w:color w:val="auto"/>
          <w:sz w:val="24"/>
          <w:szCs w:val="24"/>
        </w:rPr>
        <w:t>适当地计划和执行审计工作，仍无法避免财务报表的某些重大错报可能未被乙方发现的风险。</w:t>
      </w:r>
    </w:p>
    <w:p>
      <w:pPr>
        <w:tabs>
          <w:tab w:val="left" w:pos="0"/>
        </w:tabs>
        <w:spacing w:line="360" w:lineRule="auto"/>
        <w:ind w:left="105" w:leftChars="50" w:firstLine="360" w:firstLineChars="150"/>
        <w:rPr>
          <w:rFonts w:hint="eastAsia" w:ascii="仿宋_GB2312" w:eastAsia="仿宋_GB2312"/>
          <w:color w:val="auto"/>
          <w:sz w:val="24"/>
          <w:szCs w:val="24"/>
        </w:rPr>
      </w:pPr>
      <w:r>
        <w:rPr>
          <w:rFonts w:hint="eastAsia" w:ascii="仿宋_GB2312" w:eastAsia="仿宋_GB2312"/>
          <w:color w:val="auto"/>
          <w:sz w:val="24"/>
          <w:szCs w:val="24"/>
        </w:rPr>
        <w:t>（十三）按照约定时间完成审计工作，出具审计报告，非乙方原因影响报告按期出具的，乙方出具报告的时间顺延。乙方应按照如下时间节点及要求进行：</w:t>
      </w:r>
    </w:p>
    <w:p>
      <w:pPr>
        <w:tabs>
          <w:tab w:val="left" w:pos="0"/>
        </w:tabs>
        <w:spacing w:line="360" w:lineRule="auto"/>
        <w:ind w:left="105" w:leftChars="50" w:firstLine="360" w:firstLineChars="150"/>
        <w:rPr>
          <w:rFonts w:hint="eastAsia" w:ascii="仿宋_GB2312" w:eastAsia="仿宋_GB2312"/>
          <w:color w:val="auto"/>
          <w:sz w:val="24"/>
          <w:szCs w:val="24"/>
        </w:rPr>
      </w:pPr>
      <w:r>
        <w:rPr>
          <w:rFonts w:hint="eastAsia" w:ascii="仿宋_GB2312" w:eastAsia="仿宋_GB2312"/>
          <w:color w:val="auto"/>
          <w:sz w:val="24"/>
          <w:szCs w:val="24"/>
        </w:rPr>
        <w:t>1.中期现场审计：</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月</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日之前开始进行。</w:t>
      </w:r>
    </w:p>
    <w:p>
      <w:pPr>
        <w:tabs>
          <w:tab w:val="left" w:pos="0"/>
        </w:tabs>
        <w:spacing w:line="360" w:lineRule="auto"/>
        <w:ind w:left="105" w:leftChars="50" w:firstLine="360" w:firstLineChars="150"/>
        <w:rPr>
          <w:rFonts w:hint="eastAsia" w:ascii="仿宋_GB2312" w:eastAsia="仿宋_GB2312"/>
          <w:color w:val="auto"/>
          <w:sz w:val="24"/>
          <w:szCs w:val="24"/>
        </w:rPr>
      </w:pPr>
      <w:r>
        <w:rPr>
          <w:rFonts w:hint="eastAsia" w:ascii="仿宋_GB2312" w:eastAsia="仿宋_GB2312"/>
          <w:color w:val="auto"/>
          <w:sz w:val="24"/>
          <w:szCs w:val="24"/>
        </w:rPr>
        <w:t>2.年终现场审计：</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月</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日之前开始进行。</w:t>
      </w:r>
    </w:p>
    <w:p>
      <w:pPr>
        <w:tabs>
          <w:tab w:val="left" w:pos="0"/>
        </w:tabs>
        <w:spacing w:line="360" w:lineRule="auto"/>
        <w:ind w:left="105" w:leftChars="50" w:firstLine="360" w:firstLineChars="150"/>
        <w:rPr>
          <w:rFonts w:hint="eastAsia" w:ascii="仿宋_GB2312" w:eastAsia="仿宋_GB2312"/>
          <w:color w:val="auto"/>
          <w:sz w:val="24"/>
          <w:szCs w:val="24"/>
        </w:rPr>
      </w:pPr>
      <w:r>
        <w:rPr>
          <w:rFonts w:hint="eastAsia" w:ascii="仿宋_GB2312" w:eastAsia="仿宋_GB2312"/>
          <w:color w:val="auto"/>
          <w:sz w:val="24"/>
          <w:szCs w:val="24"/>
        </w:rPr>
        <w:t>3.审计报表定稿数据（中文版）：</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月</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日之前完成。</w:t>
      </w:r>
    </w:p>
    <w:p>
      <w:pPr>
        <w:tabs>
          <w:tab w:val="left" w:pos="0"/>
        </w:tabs>
        <w:spacing w:line="360" w:lineRule="auto"/>
        <w:ind w:left="105" w:leftChars="50" w:firstLine="360" w:firstLineChars="150"/>
        <w:rPr>
          <w:rFonts w:hint="eastAsia" w:ascii="仿宋_GB2312" w:eastAsia="仿宋_GB2312"/>
          <w:color w:val="auto"/>
          <w:sz w:val="24"/>
          <w:szCs w:val="24"/>
        </w:rPr>
      </w:pPr>
      <w:r>
        <w:rPr>
          <w:rFonts w:hint="eastAsia" w:ascii="仿宋_GB2312" w:eastAsia="仿宋_GB2312"/>
          <w:color w:val="auto"/>
          <w:sz w:val="24"/>
          <w:szCs w:val="24"/>
        </w:rPr>
        <w:t>4.财务报表审计报告初稿（中文版）</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月</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日之前完成。</w:t>
      </w:r>
    </w:p>
    <w:p>
      <w:pPr>
        <w:tabs>
          <w:tab w:val="left" w:pos="0"/>
        </w:tabs>
        <w:spacing w:line="360" w:lineRule="auto"/>
        <w:ind w:left="105" w:leftChars="50" w:firstLine="360" w:firstLineChars="150"/>
        <w:rPr>
          <w:rFonts w:hint="eastAsia" w:ascii="仿宋_GB2312" w:eastAsia="仿宋_GB2312"/>
          <w:color w:val="auto"/>
          <w:sz w:val="24"/>
          <w:szCs w:val="24"/>
        </w:rPr>
      </w:pPr>
      <w:r>
        <w:rPr>
          <w:rFonts w:hint="eastAsia" w:ascii="仿宋_GB2312" w:eastAsia="仿宋_GB2312"/>
          <w:color w:val="auto"/>
          <w:sz w:val="24"/>
          <w:szCs w:val="24"/>
        </w:rPr>
        <w:t>5.财务报表审计报告定稿及管理建议书（中文版）</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月</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日之前完成。</w:t>
      </w:r>
    </w:p>
    <w:p>
      <w:pPr>
        <w:tabs>
          <w:tab w:val="left" w:pos="0"/>
        </w:tabs>
        <w:spacing w:line="360" w:lineRule="auto"/>
        <w:ind w:left="105" w:leftChars="50" w:firstLine="360" w:firstLineChars="150"/>
        <w:rPr>
          <w:rFonts w:hint="eastAsia" w:ascii="仿宋_GB2312" w:eastAsia="仿宋_GB2312"/>
          <w:color w:val="auto"/>
          <w:sz w:val="24"/>
          <w:szCs w:val="24"/>
        </w:rPr>
      </w:pPr>
      <w:r>
        <w:rPr>
          <w:rFonts w:hint="eastAsia" w:ascii="仿宋_GB2312" w:eastAsia="仿宋_GB2312"/>
          <w:color w:val="auto"/>
          <w:sz w:val="24"/>
          <w:szCs w:val="24"/>
        </w:rPr>
        <w:t>6.财务报表审计报告定稿及管理建议书（中、英文版）</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月</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日之前完成。</w:t>
      </w:r>
    </w:p>
    <w:p>
      <w:pPr>
        <w:tabs>
          <w:tab w:val="left" w:pos="0"/>
        </w:tabs>
        <w:spacing w:line="360" w:lineRule="auto"/>
        <w:ind w:left="105" w:leftChars="50" w:firstLine="360" w:firstLineChars="150"/>
        <w:rPr>
          <w:rFonts w:ascii="仿宋_GB2312" w:eastAsia="仿宋_GB2312"/>
          <w:color w:val="auto"/>
          <w:sz w:val="24"/>
          <w:szCs w:val="24"/>
        </w:rPr>
      </w:pPr>
      <w:r>
        <w:rPr>
          <w:rFonts w:hint="eastAsia" w:ascii="仿宋_GB2312" w:eastAsia="仿宋_GB2312"/>
          <w:color w:val="auto"/>
          <w:sz w:val="24"/>
          <w:szCs w:val="24"/>
        </w:rPr>
        <w:t>7.内部控制审计报告定稿（中、英文版）</w:t>
      </w:r>
      <w:r>
        <w:rPr>
          <w:rFonts w:hint="eastAsia" w:ascii="仿宋_GB2312" w:eastAsia="仿宋_GB2312"/>
          <w:color w:val="auto"/>
          <w:sz w:val="24"/>
          <w:szCs w:val="24"/>
          <w:u w:val="single"/>
        </w:rPr>
        <w:t>20</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年</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月</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日之前完成。</w:t>
      </w:r>
    </w:p>
    <w:p>
      <w:pPr>
        <w:keepNext w:val="0"/>
        <w:keepLines w:val="0"/>
        <w:pageBreakBefore w:val="0"/>
        <w:widowControl w:val="0"/>
        <w:kinsoku/>
        <w:wordWrap/>
        <w:overflowPunct/>
        <w:topLinePunct w:val="0"/>
        <w:autoSpaceDE w:val="0"/>
        <w:autoSpaceDN w:val="0"/>
        <w:bidi w:val="0"/>
        <w:adjustRightInd w:val="0"/>
        <w:snapToGrid w:val="0"/>
        <w:spacing w:before="156" w:beforeLines="50" w:line="360" w:lineRule="auto"/>
        <w:ind w:firstLine="480" w:firstLineChars="200"/>
        <w:textAlignment w:val="auto"/>
        <w:rPr>
          <w:rFonts w:hint="eastAsia" w:ascii="仿宋_GB2312" w:eastAsia="仿宋_GB2312"/>
          <w:color w:val="auto"/>
          <w:sz w:val="24"/>
          <w:szCs w:val="24"/>
        </w:rPr>
      </w:pPr>
      <w:r>
        <w:rPr>
          <w:rFonts w:hint="eastAsia" w:ascii="仿宋_GB2312" w:eastAsia="仿宋_GB2312"/>
          <w:color w:val="auto"/>
          <w:sz w:val="24"/>
          <w:szCs w:val="24"/>
        </w:rPr>
        <w:t>8.审计报告及管理建议书分别在甲方审计委员会、董事会会议审议时，乙方均需安排审计人员列席，并对会上提出的疑问进行解答。</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（十四）除下列情况外，乙方应当对执行业务过程中知悉的甲方及被审计单位信息予以保密：</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1</w:t>
      </w:r>
      <w:r>
        <w:rPr>
          <w:rFonts w:ascii="仿宋_GB2312" w:eastAsia="仿宋_GB2312"/>
          <w:color w:val="auto"/>
          <w:sz w:val="24"/>
          <w:szCs w:val="24"/>
        </w:rPr>
        <w:t xml:space="preserve">. </w:t>
      </w:r>
      <w:r>
        <w:rPr>
          <w:rFonts w:hint="eastAsia" w:ascii="仿宋_GB2312" w:eastAsia="仿宋_GB2312"/>
          <w:color w:val="auto"/>
          <w:sz w:val="24"/>
          <w:szCs w:val="24"/>
        </w:rPr>
        <w:t>法律法规允许披露，并取得甲方及被审计单位的授权；</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2</w:t>
      </w:r>
      <w:r>
        <w:rPr>
          <w:rFonts w:ascii="仿宋_GB2312" w:eastAsia="仿宋_GB2312"/>
          <w:color w:val="auto"/>
          <w:sz w:val="24"/>
          <w:szCs w:val="24"/>
        </w:rPr>
        <w:t xml:space="preserve">. </w:t>
      </w:r>
      <w:r>
        <w:rPr>
          <w:rFonts w:hint="eastAsia" w:ascii="仿宋_GB2312" w:eastAsia="仿宋_GB2312"/>
          <w:color w:val="auto"/>
          <w:sz w:val="24"/>
          <w:szCs w:val="24"/>
        </w:rPr>
        <w:t>根据法律法规的要求，为法律诉讼、仲裁准备文件或提供证据，以及向监管机构报告发现的违法行为；</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3</w:t>
      </w:r>
      <w:r>
        <w:rPr>
          <w:rFonts w:ascii="仿宋_GB2312" w:eastAsia="仿宋_GB2312"/>
          <w:color w:val="auto"/>
          <w:sz w:val="24"/>
          <w:szCs w:val="24"/>
        </w:rPr>
        <w:t xml:space="preserve">. </w:t>
      </w:r>
      <w:r>
        <w:rPr>
          <w:rFonts w:hint="eastAsia" w:ascii="仿宋_GB2312" w:eastAsia="仿宋_GB2312"/>
          <w:color w:val="auto"/>
          <w:sz w:val="24"/>
          <w:szCs w:val="24"/>
        </w:rPr>
        <w:t>在法律法规允许的情况下，在法律诉讼、仲裁中维护自己的合法权益；</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4</w:t>
      </w:r>
      <w:r>
        <w:rPr>
          <w:rFonts w:ascii="仿宋_GB2312" w:eastAsia="仿宋_GB2312"/>
          <w:color w:val="auto"/>
          <w:sz w:val="24"/>
          <w:szCs w:val="24"/>
        </w:rPr>
        <w:t xml:space="preserve">. </w:t>
      </w:r>
      <w:r>
        <w:rPr>
          <w:rFonts w:hint="eastAsia" w:ascii="仿宋_GB2312" w:eastAsia="仿宋_GB2312"/>
          <w:color w:val="auto"/>
          <w:sz w:val="24"/>
          <w:szCs w:val="24"/>
        </w:rPr>
        <w:t>接受注册会计师协会或监管机构的执业质量检查，答复其询问和调查；</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5</w:t>
      </w:r>
      <w:r>
        <w:rPr>
          <w:rFonts w:ascii="仿宋_GB2312" w:eastAsia="仿宋_GB2312"/>
          <w:color w:val="auto"/>
          <w:sz w:val="24"/>
          <w:szCs w:val="24"/>
        </w:rPr>
        <w:t xml:space="preserve">. </w:t>
      </w:r>
      <w:r>
        <w:rPr>
          <w:rFonts w:hint="eastAsia" w:ascii="仿宋_GB2312" w:eastAsia="仿宋_GB2312"/>
          <w:color w:val="auto"/>
          <w:sz w:val="24"/>
          <w:szCs w:val="24"/>
        </w:rPr>
        <w:t>法律法规、执业准则和职业道德规范规定的其他情形。</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（十五）</w:t>
      </w:r>
      <w:r>
        <w:rPr>
          <w:rFonts w:ascii="仿宋_GB2312" w:eastAsia="仿宋_GB2312"/>
          <w:color w:val="auto"/>
          <w:sz w:val="24"/>
          <w:szCs w:val="24"/>
        </w:rPr>
        <w:t>审计报告签发日之后，</w:t>
      </w:r>
      <w:r>
        <w:rPr>
          <w:rFonts w:hint="eastAsia" w:ascii="仿宋_GB2312" w:eastAsia="仿宋_GB2312"/>
          <w:color w:val="auto"/>
          <w:sz w:val="24"/>
          <w:szCs w:val="24"/>
        </w:rPr>
        <w:t>乙方无</w:t>
      </w:r>
      <w:r>
        <w:rPr>
          <w:rFonts w:ascii="仿宋_GB2312" w:eastAsia="仿宋_GB2312"/>
          <w:color w:val="auto"/>
          <w:sz w:val="24"/>
          <w:szCs w:val="24"/>
        </w:rPr>
        <w:t>直接责任去考虑或查明可能影响该期间的会计报表的期后事项。但是，</w:t>
      </w:r>
      <w:r>
        <w:rPr>
          <w:rFonts w:hint="eastAsia" w:ascii="仿宋_GB2312" w:eastAsia="仿宋_GB2312"/>
          <w:color w:val="auto"/>
          <w:sz w:val="24"/>
          <w:szCs w:val="24"/>
        </w:rPr>
        <w:t>甲方及被审计单位应</w:t>
      </w:r>
      <w:r>
        <w:rPr>
          <w:rFonts w:ascii="仿宋_GB2312" w:eastAsia="仿宋_GB2312"/>
          <w:color w:val="auto"/>
          <w:sz w:val="24"/>
          <w:szCs w:val="24"/>
        </w:rPr>
        <w:t>将在审计报告签发日之后可能影响会计报表的任何重大事项的发生或任何重大事实的发现</w:t>
      </w:r>
      <w:r>
        <w:rPr>
          <w:rFonts w:hint="eastAsia" w:ascii="仿宋_GB2312" w:eastAsia="仿宋_GB2312"/>
          <w:color w:val="auto"/>
          <w:sz w:val="24"/>
          <w:szCs w:val="24"/>
        </w:rPr>
        <w:t>及时</w:t>
      </w:r>
      <w:r>
        <w:rPr>
          <w:rFonts w:ascii="仿宋_GB2312" w:eastAsia="仿宋_GB2312"/>
          <w:color w:val="auto"/>
          <w:sz w:val="24"/>
          <w:szCs w:val="24"/>
        </w:rPr>
        <w:t>通知</w:t>
      </w:r>
      <w:r>
        <w:rPr>
          <w:rFonts w:hint="eastAsia" w:ascii="仿宋_GB2312" w:eastAsia="仿宋_GB2312"/>
          <w:color w:val="auto"/>
          <w:sz w:val="24"/>
          <w:szCs w:val="24"/>
        </w:rPr>
        <w:t>乙方。</w:t>
      </w:r>
    </w:p>
    <w:p>
      <w:pPr>
        <w:pStyle w:val="2"/>
        <w:rPr>
          <w:rFonts w:hint="eastAsia"/>
          <w:color w:val="auto"/>
        </w:rPr>
      </w:pPr>
      <w:r>
        <w:rPr>
          <w:rFonts w:hint="eastAsia"/>
          <w:color w:val="auto"/>
        </w:rPr>
        <w:t>四、审计收费</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（一）本次审计服务的收费是以乙方各级别工作人员在本次工作中所耗费的时间为基础计算的。乙方预计本次审计服务的费用总额为（含税包干）为￥</w:t>
      </w:r>
      <w:r>
        <w:rPr>
          <w:rFonts w:hint="eastAsia" w:ascii="仿宋_GB2312" w:eastAsia="仿宋_GB2312"/>
          <w:color w:val="auto"/>
          <w:sz w:val="24"/>
          <w:szCs w:val="24"/>
          <w:u w:val="single"/>
        </w:rPr>
        <w:t xml:space="preserve"> </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元 (大写：</w:t>
      </w:r>
      <w:r>
        <w:rPr>
          <w:rFonts w:hint="eastAsia" w:ascii="仿宋_GB2312" w:eastAsia="仿宋_GB2312"/>
          <w:color w:val="auto"/>
          <w:sz w:val="24"/>
          <w:szCs w:val="24"/>
          <w:u w:val="single"/>
        </w:rPr>
        <w:t>人民币</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元整)</w:t>
      </w:r>
      <w:r>
        <w:rPr>
          <w:rFonts w:ascii="仿宋_GB2312" w:eastAsia="仿宋_GB2312"/>
          <w:color w:val="auto"/>
          <w:sz w:val="24"/>
          <w:szCs w:val="24"/>
        </w:rPr>
        <w:t>。</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（二）服务费用共分</w:t>
      </w:r>
      <w:r>
        <w:rPr>
          <w:rFonts w:hint="eastAsia" w:ascii="仿宋_GB2312" w:eastAsia="仿宋_GB2312"/>
          <w:color w:val="auto"/>
          <w:sz w:val="24"/>
          <w:szCs w:val="24"/>
          <w:u w:val="single"/>
        </w:rPr>
        <w:t xml:space="preserve"> </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期，由甲方及被审计单位向乙方支付，具体如下：</w:t>
      </w:r>
    </w:p>
    <w:p>
      <w:pPr>
        <w:tabs>
          <w:tab w:val="left" w:pos="0"/>
        </w:tabs>
        <w:spacing w:line="360" w:lineRule="auto"/>
        <w:ind w:firstLine="480" w:firstLineChars="200"/>
        <w:rPr>
          <w:rFonts w:hint="eastAsia" w:ascii="仿宋_GB2312" w:eastAsia="仿宋_GB2312"/>
          <w:color w:val="auto"/>
          <w:sz w:val="24"/>
          <w:szCs w:val="24"/>
        </w:rPr>
      </w:pPr>
      <w:r>
        <w:rPr>
          <w:rFonts w:ascii="仿宋_GB2312" w:eastAsia="仿宋_GB2312"/>
          <w:color w:val="auto"/>
          <w:sz w:val="24"/>
          <w:szCs w:val="24"/>
        </w:rPr>
        <w:t xml:space="preserve">1. </w:t>
      </w:r>
      <w:r>
        <w:rPr>
          <w:rFonts w:hint="eastAsia" w:ascii="仿宋_GB2312" w:eastAsia="仿宋_GB2312"/>
          <w:color w:val="auto"/>
          <w:sz w:val="24"/>
          <w:szCs w:val="24"/>
        </w:rPr>
        <w:t>第一期：甲方于中期现场审计工作完成后</w:t>
      </w:r>
      <w:r>
        <w:rPr>
          <w:rFonts w:hint="eastAsia" w:ascii="仿宋_GB2312" w:eastAsia="仿宋_GB2312"/>
          <w:color w:val="auto"/>
          <w:sz w:val="24"/>
          <w:szCs w:val="24"/>
          <w:u w:val="single"/>
        </w:rPr>
        <w:t>4</w:t>
      </w:r>
      <w:r>
        <w:rPr>
          <w:rFonts w:ascii="仿宋_GB2312" w:eastAsia="仿宋_GB2312"/>
          <w:color w:val="auto"/>
          <w:sz w:val="24"/>
          <w:szCs w:val="24"/>
          <w:u w:val="single"/>
        </w:rPr>
        <w:t>5</w:t>
      </w:r>
      <w:r>
        <w:rPr>
          <w:rFonts w:hint="eastAsia" w:ascii="仿宋_GB2312" w:eastAsia="仿宋_GB2312"/>
          <w:color w:val="auto"/>
          <w:sz w:val="24"/>
          <w:szCs w:val="24"/>
        </w:rPr>
        <w:t>日内支付服务费总额的</w:t>
      </w:r>
      <w:r>
        <w:rPr>
          <w:rFonts w:hint="eastAsia" w:ascii="仿宋_GB2312" w:eastAsia="仿宋_GB2312"/>
          <w:color w:val="auto"/>
          <w:sz w:val="24"/>
          <w:szCs w:val="24"/>
          <w:u w:val="single"/>
        </w:rPr>
        <w:t xml:space="preserve"> </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u w:val="single"/>
        </w:rPr>
        <w:t xml:space="preserve"> </w:t>
      </w:r>
      <w:r>
        <w:rPr>
          <w:rFonts w:hint="eastAsia" w:ascii="仿宋_GB2312" w:eastAsia="仿宋_GB2312"/>
          <w:color w:val="auto"/>
          <w:sz w:val="24"/>
          <w:szCs w:val="24"/>
        </w:rPr>
        <w:t>%,即￥</w:t>
      </w:r>
      <w:r>
        <w:rPr>
          <w:rFonts w:hint="eastAsia" w:ascii="仿宋_GB2312" w:eastAsia="仿宋_GB2312"/>
          <w:color w:val="auto"/>
          <w:sz w:val="24"/>
          <w:szCs w:val="24"/>
          <w:u w:val="single"/>
        </w:rPr>
        <w:t xml:space="preserve"> </w:t>
      </w:r>
      <w:r>
        <w:rPr>
          <w:rFonts w:hint="eastAsia" w:ascii="仿宋_GB2312" w:eastAsia="仿宋_GB2312"/>
          <w:color w:val="auto"/>
          <w:sz w:val="24"/>
          <w:szCs w:val="24"/>
          <w:u w:val="single"/>
          <w:lang w:val="en-US" w:eastAsia="zh-CN"/>
        </w:rPr>
        <w:t xml:space="preserve">        </w:t>
      </w:r>
      <w:r>
        <w:rPr>
          <w:rFonts w:hint="eastAsia" w:ascii="仿宋_GB2312" w:eastAsia="仿宋_GB2312"/>
          <w:color w:val="auto"/>
          <w:sz w:val="24"/>
          <w:szCs w:val="24"/>
        </w:rPr>
        <w:t>元；</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2.</w:t>
      </w:r>
      <w:r>
        <w:rPr>
          <w:rFonts w:ascii="仿宋_GB2312" w:eastAsia="仿宋_GB2312"/>
          <w:color w:val="auto"/>
          <w:sz w:val="24"/>
          <w:szCs w:val="24"/>
        </w:rPr>
        <w:t xml:space="preserve"> </w:t>
      </w:r>
      <w:r>
        <w:rPr>
          <w:rFonts w:hint="eastAsia" w:ascii="仿宋_GB2312" w:eastAsia="仿宋_GB2312"/>
          <w:color w:val="auto"/>
          <w:sz w:val="24"/>
          <w:szCs w:val="24"/>
        </w:rPr>
        <w:t>第二期：其余款项于提交正式审计报告之日起</w:t>
      </w:r>
      <w:r>
        <w:rPr>
          <w:rFonts w:hint="eastAsia" w:ascii="仿宋_GB2312" w:eastAsia="仿宋_GB2312"/>
          <w:color w:val="auto"/>
          <w:sz w:val="24"/>
          <w:szCs w:val="24"/>
          <w:u w:val="single"/>
        </w:rPr>
        <w:t xml:space="preserve"> 45</w:t>
      </w:r>
      <w:r>
        <w:rPr>
          <w:rFonts w:hint="eastAsia" w:ascii="仿宋_GB2312" w:eastAsia="仿宋_GB2312"/>
          <w:color w:val="auto"/>
          <w:sz w:val="24"/>
          <w:szCs w:val="24"/>
        </w:rPr>
        <w:t>日内完成支付</w:t>
      </w:r>
      <w:r>
        <w:rPr>
          <w:rFonts w:ascii="仿宋_GB2312" w:eastAsia="仿宋_GB2312"/>
          <w:color w:val="auto"/>
          <w:sz w:val="24"/>
          <w:szCs w:val="24"/>
        </w:rPr>
        <w:t>。</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甲方及被审计单位按费用明细清单金额（详见附件2）向乙方支付，每次付款前，乙方按费用明细清单向各公司开具合法的等额增值税专用发票，甲方对甲方各级子公司按费用清单金额付款的责任承担连带责任。</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三）如果由于非乙方所致的原因，致使乙方从事本约定书所涉及的服务实际时间较本约定书签订时预计的时间有明显的增加或减少时，甲、乙双方应通过协商，就相应调整本条第（一）款所约定的服务费用达成一致意见并签订补充协议。</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80" w:firstLineChars="200"/>
        <w:textAlignment w:val="auto"/>
        <w:rPr>
          <w:rFonts w:hint="eastAsia" w:ascii="仿宋_GB2312" w:eastAsia="仿宋_GB2312"/>
          <w:color w:val="auto"/>
          <w:sz w:val="24"/>
          <w:szCs w:val="24"/>
        </w:rPr>
      </w:pPr>
      <w:r>
        <w:rPr>
          <w:rFonts w:hint="eastAsia" w:ascii="仿宋_GB2312" w:eastAsia="仿宋_GB2312"/>
          <w:color w:val="auto"/>
          <w:sz w:val="24"/>
          <w:szCs w:val="24"/>
        </w:rPr>
        <w:t>（四）与</w:t>
      </w:r>
      <w:r>
        <w:rPr>
          <w:rFonts w:ascii="仿宋_GB2312" w:eastAsia="仿宋_GB2312"/>
          <w:color w:val="auto"/>
          <w:sz w:val="24"/>
          <w:szCs w:val="24"/>
        </w:rPr>
        <w:t>本</w:t>
      </w:r>
      <w:r>
        <w:rPr>
          <w:rFonts w:hint="eastAsia" w:ascii="仿宋_GB2312" w:eastAsia="仿宋_GB2312"/>
          <w:color w:val="auto"/>
          <w:sz w:val="24"/>
          <w:szCs w:val="24"/>
        </w:rPr>
        <w:t>次</w:t>
      </w:r>
      <w:r>
        <w:rPr>
          <w:rFonts w:ascii="仿宋_GB2312" w:eastAsia="仿宋_GB2312"/>
          <w:color w:val="auto"/>
          <w:sz w:val="24"/>
          <w:szCs w:val="24"/>
        </w:rPr>
        <w:t>审计</w:t>
      </w:r>
      <w:r>
        <w:rPr>
          <w:rFonts w:hint="eastAsia" w:ascii="仿宋_GB2312" w:eastAsia="仿宋_GB2312"/>
          <w:color w:val="auto"/>
          <w:sz w:val="24"/>
          <w:szCs w:val="24"/>
        </w:rPr>
        <w:t>有</w:t>
      </w:r>
      <w:r>
        <w:rPr>
          <w:rFonts w:ascii="仿宋_GB2312" w:eastAsia="仿宋_GB2312"/>
          <w:color w:val="auto"/>
          <w:sz w:val="24"/>
          <w:szCs w:val="24"/>
        </w:rPr>
        <w:t>关的向第三方询证的费用由</w:t>
      </w:r>
      <w:r>
        <w:rPr>
          <w:rFonts w:hint="eastAsia" w:ascii="仿宋_GB2312" w:eastAsia="仿宋_GB2312"/>
          <w:color w:val="auto"/>
          <w:sz w:val="24"/>
          <w:szCs w:val="24"/>
        </w:rPr>
        <w:t>甲方及被审计单位承担,其他费用（包括交通</w:t>
      </w:r>
      <w:r>
        <w:rPr>
          <w:rFonts w:ascii="仿宋_GB2312" w:eastAsia="仿宋_GB2312"/>
          <w:color w:val="auto"/>
          <w:sz w:val="24"/>
          <w:szCs w:val="24"/>
        </w:rPr>
        <w:t>费、食宿费</w:t>
      </w:r>
      <w:r>
        <w:rPr>
          <w:rFonts w:hint="eastAsia" w:ascii="仿宋_GB2312" w:eastAsia="仿宋_GB2312"/>
          <w:color w:val="auto"/>
          <w:sz w:val="24"/>
          <w:szCs w:val="24"/>
        </w:rPr>
        <w:t>等）</w:t>
      </w:r>
      <w:r>
        <w:rPr>
          <w:rFonts w:ascii="仿宋_GB2312" w:eastAsia="仿宋_GB2312"/>
          <w:color w:val="auto"/>
          <w:sz w:val="24"/>
          <w:szCs w:val="24"/>
        </w:rPr>
        <w:t>由</w:t>
      </w:r>
      <w:r>
        <w:rPr>
          <w:rFonts w:hint="eastAsia" w:ascii="仿宋_GB2312" w:eastAsia="仿宋_GB2312"/>
          <w:color w:val="auto"/>
          <w:sz w:val="24"/>
          <w:szCs w:val="24"/>
        </w:rPr>
        <w:t>乙方承担。</w:t>
      </w:r>
    </w:p>
    <w:p>
      <w:pPr>
        <w:pStyle w:val="2"/>
        <w:rPr>
          <w:rFonts w:hint="eastAsia"/>
          <w:color w:val="auto"/>
        </w:rPr>
      </w:pPr>
      <w:r>
        <w:rPr>
          <w:rFonts w:hint="eastAsia"/>
          <w:color w:val="auto"/>
        </w:rPr>
        <w:t xml:space="preserve">五、审计报告的使用 </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（一）乙方按照中国注册会计师审计准则规定的格式和类型出具审计报告。</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二）乙方向甲方交付合并财务报表审计报告及管理建议书中文版、英文版各一式五份，合并内部控制审计报告中文版、英文版各一式三份，甲方各级子公司审计报告一式三份。报告的交付方式为乙方邮寄至甲方住所，另需向甲方发送定稿报告的电子版。甲方签收乙方邮寄的审计报告，则视为甲方已领取审计报告。如乙方将审计报告寄送甲方指定地址之后甲方拒绝签收或在收到乙方寄达审计报告后五日内未签收，则视为甲方放弃领取审计报告，则审计报告签发日后五个工作日视为乙方已经完成交付，且完整履行本约定书项下的全部义务。且该等放弃不影响本协议第四条第二款乙方之权利的行使。</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三）甲方及被审计单位在提交或对外公布乙方出具的审计报告及其后附的已审计财务报表时，不得对其进行修改。当甲方及被审计单位认为有必要修改会计数据、报表附注和所作的说明时，应当事先通知乙方，乙方将考虑有关的修改对审计报告的影响，必要时，将重新出具审计报告，由此产生的费用由甲方及被审计单位另行支付。</w:t>
      </w:r>
    </w:p>
    <w:p>
      <w:pPr>
        <w:pStyle w:val="2"/>
        <w:keepNext w:val="0"/>
        <w:keepLines w:val="0"/>
        <w:pageBreakBefore w:val="0"/>
        <w:widowControl w:val="0"/>
        <w:kinsoku/>
        <w:wordWrap/>
        <w:overflowPunct/>
        <w:topLinePunct w:val="0"/>
        <w:autoSpaceDE/>
        <w:autoSpaceDN/>
        <w:bidi w:val="0"/>
        <w:adjustRightInd/>
        <w:snapToGrid/>
        <w:spacing w:before="79" w:beforeLines="25"/>
        <w:textAlignment w:val="auto"/>
        <w:rPr>
          <w:rFonts w:hint="eastAsia"/>
          <w:color w:val="auto"/>
        </w:rPr>
      </w:pPr>
      <w:r>
        <w:rPr>
          <w:rFonts w:hint="eastAsia"/>
          <w:color w:val="auto"/>
        </w:rPr>
        <w:t>六、本约定书的有效期间</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（一）本约定书自甲、乙双方法定代表人或委托代理人签字/签章并加盖公章后生效，在双方履行完毕本约定书约定的所有义务后终止。</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（二）如甲、乙双方在本约定书中注明的合同签订日期不一致的：</w:t>
      </w:r>
    </w:p>
    <w:p>
      <w:pPr>
        <w:tabs>
          <w:tab w:val="left" w:pos="0"/>
        </w:tabs>
        <w:spacing w:line="360" w:lineRule="auto"/>
        <w:ind w:firstLine="480" w:firstLineChars="200"/>
        <w:rPr>
          <w:rFonts w:hint="eastAsia" w:ascii="仿宋_GB2312" w:eastAsia="仿宋_GB2312"/>
          <w:color w:val="auto"/>
          <w:sz w:val="24"/>
          <w:szCs w:val="24"/>
        </w:rPr>
      </w:pPr>
      <w:r>
        <w:rPr>
          <w:rFonts w:ascii="仿宋_GB2312" w:eastAsia="仿宋_GB2312"/>
          <w:color w:val="auto"/>
          <w:sz w:val="24"/>
          <w:szCs w:val="24"/>
        </w:rPr>
        <w:t xml:space="preserve">1. </w:t>
      </w:r>
      <w:r>
        <w:rPr>
          <w:rFonts w:hint="eastAsia" w:ascii="仿宋_GB2312" w:eastAsia="仿宋_GB2312"/>
          <w:color w:val="auto"/>
          <w:sz w:val="24"/>
          <w:szCs w:val="24"/>
        </w:rPr>
        <w:t>双方均注明有签订日期的，以日期在后的为生效日期；</w:t>
      </w:r>
    </w:p>
    <w:p>
      <w:pPr>
        <w:tabs>
          <w:tab w:val="left" w:pos="0"/>
        </w:tabs>
        <w:spacing w:line="360" w:lineRule="auto"/>
        <w:ind w:firstLine="480" w:firstLineChars="200"/>
        <w:rPr>
          <w:rFonts w:hint="eastAsia" w:ascii="仿宋_GB2312" w:eastAsia="仿宋_GB2312"/>
          <w:color w:val="auto"/>
          <w:sz w:val="24"/>
          <w:szCs w:val="24"/>
        </w:rPr>
      </w:pPr>
      <w:r>
        <w:rPr>
          <w:rFonts w:ascii="仿宋_GB2312" w:eastAsia="仿宋_GB2312"/>
          <w:color w:val="auto"/>
          <w:sz w:val="24"/>
          <w:szCs w:val="24"/>
        </w:rPr>
        <w:t xml:space="preserve">2. </w:t>
      </w:r>
      <w:r>
        <w:rPr>
          <w:rFonts w:hint="eastAsia" w:ascii="仿宋_GB2312" w:eastAsia="仿宋_GB2312"/>
          <w:color w:val="auto"/>
          <w:sz w:val="24"/>
          <w:szCs w:val="24"/>
        </w:rPr>
        <w:t>一方未注明签订日期的，以已经注明的一方日期为生效日期；</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（三）如一方用章并交付对方后，另一方在15日内仍未完成用章并交付对方的，合同生效日期以在前的一方注明的日期为准。</w:t>
      </w:r>
    </w:p>
    <w:p>
      <w:pPr>
        <w:pStyle w:val="2"/>
        <w:keepNext w:val="0"/>
        <w:keepLines w:val="0"/>
        <w:pageBreakBefore w:val="0"/>
        <w:widowControl w:val="0"/>
        <w:kinsoku/>
        <w:wordWrap/>
        <w:overflowPunct/>
        <w:topLinePunct w:val="0"/>
        <w:autoSpaceDE/>
        <w:autoSpaceDN/>
        <w:bidi w:val="0"/>
        <w:adjustRightInd/>
        <w:snapToGrid/>
        <w:spacing w:before="79" w:beforeLines="25"/>
        <w:textAlignment w:val="auto"/>
        <w:rPr>
          <w:rFonts w:hint="eastAsia"/>
          <w:bCs/>
          <w:color w:val="auto"/>
        </w:rPr>
      </w:pPr>
      <w:r>
        <w:rPr>
          <w:rFonts w:hint="eastAsia"/>
          <w:color w:val="auto"/>
        </w:rPr>
        <w:t>七、约定事项的变更</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textAlignment w:val="auto"/>
        <w:rPr>
          <w:rFonts w:hint="eastAsia" w:ascii="仿宋_GB2312" w:eastAsia="仿宋_GB2312"/>
          <w:color w:val="auto"/>
          <w:sz w:val="24"/>
          <w:szCs w:val="24"/>
        </w:rPr>
      </w:pPr>
      <w:r>
        <w:rPr>
          <w:rFonts w:hint="eastAsia" w:ascii="仿宋_GB2312" w:eastAsia="仿宋_GB2312"/>
          <w:color w:val="auto"/>
          <w:sz w:val="24"/>
          <w:szCs w:val="24"/>
        </w:rPr>
        <w:t>如果出现不可预见的情况，影响审计工作如期完成，或需要提前出具审计报告，甲、乙双方均可要求变更约定事项，但应及时通知对方，并由双方协商解决。</w:t>
      </w:r>
    </w:p>
    <w:p>
      <w:pPr>
        <w:pStyle w:val="2"/>
        <w:keepNext w:val="0"/>
        <w:keepLines w:val="0"/>
        <w:pageBreakBefore w:val="0"/>
        <w:widowControl w:val="0"/>
        <w:kinsoku/>
        <w:wordWrap/>
        <w:overflowPunct/>
        <w:topLinePunct w:val="0"/>
        <w:autoSpaceDE/>
        <w:autoSpaceDN/>
        <w:bidi w:val="0"/>
        <w:adjustRightInd/>
        <w:snapToGrid/>
        <w:spacing w:before="79" w:beforeLines="25"/>
        <w:textAlignment w:val="auto"/>
        <w:rPr>
          <w:rFonts w:hint="eastAsia"/>
          <w:color w:val="auto"/>
        </w:rPr>
      </w:pPr>
      <w:r>
        <w:rPr>
          <w:rFonts w:hint="eastAsia"/>
          <w:color w:val="auto"/>
        </w:rPr>
        <w:t>八、终止条款</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（一）如果根据乙方的职业道德及其他相关专业职责</w:t>
      </w:r>
      <w:r>
        <w:rPr>
          <w:rFonts w:ascii="仿宋_GB2312" w:eastAsia="仿宋_GB2312"/>
          <w:color w:val="auto"/>
          <w:sz w:val="24"/>
          <w:szCs w:val="24"/>
        </w:rPr>
        <w:t>、</w:t>
      </w:r>
      <w:r>
        <w:rPr>
          <w:rFonts w:hint="eastAsia" w:ascii="仿宋_GB2312" w:eastAsia="仿宋_GB2312"/>
          <w:color w:val="auto"/>
          <w:sz w:val="24"/>
          <w:szCs w:val="24"/>
        </w:rPr>
        <w:t>适用的法律法规或其他任何法定的要求，乙方认为已不适宜继续为甲方提供本约定书约定的审计服务，乙方可以采取向甲方提出合理通知的方式终止履行本约定书，已收取的咨询服务费不予退还且无需承担违约责任。</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（二）无论何种原因导致本约定书解除或终止的，乙方已收取的费用均不予退还。此外，在本约定书解除或终止的情况下，乙方有权就其于终止之日前对约定的审计服务项目所做的工作收取合理的费用。</w:t>
      </w:r>
    </w:p>
    <w:p>
      <w:pPr>
        <w:tabs>
          <w:tab w:val="left" w:pos="0"/>
        </w:tabs>
        <w:spacing w:line="360" w:lineRule="auto"/>
        <w:rPr>
          <w:rFonts w:hint="eastAsia" w:ascii="仿宋_GB2312" w:eastAsia="仿宋_GB2312"/>
          <w:b/>
          <w:color w:val="auto"/>
          <w:sz w:val="24"/>
          <w:szCs w:val="24"/>
        </w:rPr>
      </w:pPr>
    </w:p>
    <w:p>
      <w:pPr>
        <w:pStyle w:val="2"/>
        <w:rPr>
          <w:rFonts w:hint="eastAsia"/>
          <w:bCs/>
          <w:color w:val="auto"/>
        </w:rPr>
      </w:pPr>
      <w:r>
        <w:rPr>
          <w:rFonts w:hint="eastAsia"/>
          <w:color w:val="auto"/>
        </w:rPr>
        <w:t xml:space="preserve">九、违约责任 </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（一）若甲方未按照合同约定及时足额支付款项，应当向乙方支付逾期利息。逾期利息=应付未付款总额×本约定书订立时1年期贷款市场报价利率×逾期支付天数（自逾期之日起计算）。</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（二）甲方无合理理由逾期支付超过 90 日的，乙方有权解除本约定书，已经收取的款项不再退还，并有权要求甲方按照服务费总额的 30 %支付违约金，违约金不足以弥补损失的，乙方有权进一步追偿。</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（三）因乙方原因导致乙方未按照合同约定期限实施或完成任一阶段工作的，每逾期1日，应向甲方支付合同总额万分之二的违约金。乙方无合理理由连续逾期超过</w:t>
      </w:r>
      <w:r>
        <w:rPr>
          <w:rFonts w:hint="eastAsia" w:ascii="仿宋_GB2312" w:eastAsia="仿宋_GB2312"/>
          <w:color w:val="auto"/>
          <w:sz w:val="24"/>
          <w:szCs w:val="24"/>
          <w:highlight w:val="none"/>
        </w:rPr>
        <w:t xml:space="preserve"> 5日</w:t>
      </w:r>
      <w:r>
        <w:rPr>
          <w:rFonts w:hint="eastAsia" w:ascii="仿宋_GB2312" w:eastAsia="仿宋_GB2312"/>
          <w:color w:val="auto"/>
          <w:sz w:val="24"/>
          <w:szCs w:val="24"/>
        </w:rPr>
        <w:t xml:space="preserve">或累计超过20日的，甲方有权解除本约定书，并有权要求乙方按照服务费总额的 </w:t>
      </w:r>
      <w:r>
        <w:rPr>
          <w:rFonts w:ascii="仿宋_GB2312" w:eastAsia="仿宋_GB2312"/>
          <w:color w:val="auto"/>
          <w:sz w:val="24"/>
          <w:szCs w:val="24"/>
        </w:rPr>
        <w:t>30</w:t>
      </w:r>
      <w:r>
        <w:rPr>
          <w:rFonts w:hint="eastAsia" w:ascii="仿宋_GB2312" w:eastAsia="仿宋_GB2312"/>
          <w:color w:val="auto"/>
          <w:sz w:val="24"/>
          <w:szCs w:val="24"/>
        </w:rPr>
        <w:t>%支付违约金，违约金不足以弥补损失的，甲方有权进一步追偿。乙方已经收取的款项乙方应于收到合同解除通知之日起3日内以退还，否则应支付逾期利息，逾期利息=应付未付款总额×本约定书订立时1年期贷款市场报价利率×逾期支付天数（自逾期之日起计算）。</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（四）其他违约情形，双方按照约定书约定及相关法律法规的规定承担违约责任。</w:t>
      </w:r>
    </w:p>
    <w:p>
      <w:pPr>
        <w:tabs>
          <w:tab w:val="left" w:pos="0"/>
        </w:tabs>
        <w:spacing w:line="360" w:lineRule="auto"/>
        <w:ind w:firstLine="482" w:firstLineChars="200"/>
        <w:rPr>
          <w:rFonts w:hint="eastAsia" w:ascii="仿宋_GB2312" w:eastAsia="仿宋_GB2312"/>
          <w:b/>
          <w:color w:val="auto"/>
          <w:sz w:val="24"/>
          <w:szCs w:val="24"/>
        </w:rPr>
      </w:pPr>
    </w:p>
    <w:p>
      <w:pPr>
        <w:pStyle w:val="2"/>
        <w:rPr>
          <w:rFonts w:hint="eastAsia"/>
          <w:bCs/>
          <w:color w:val="auto"/>
        </w:rPr>
      </w:pPr>
      <w:r>
        <w:rPr>
          <w:rFonts w:hint="eastAsia"/>
          <w:color w:val="auto"/>
        </w:rPr>
        <w:t>十、适用法律和争议解决</w:t>
      </w:r>
      <w:r>
        <w:rPr>
          <w:rFonts w:hint="eastAsia"/>
          <w:bCs/>
          <w:color w:val="auto"/>
        </w:rPr>
        <w:t xml:space="preserve"> </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本约定书的所有方面均应适用中华人民共和国法律进行解释并受其约束。本约定书履行地为乙方出具审计报告所在地，因本约定书引起的或与本约定书有关的任何纠纷或争议（包括关于本约定书条款的存在、效力或终止，或无效之后果），双方协商确定采取以下第</w:t>
      </w:r>
      <w:r>
        <w:rPr>
          <w:rFonts w:hint="eastAsia" w:ascii="仿宋_GB2312" w:eastAsia="仿宋_GB2312"/>
          <w:color w:val="auto"/>
          <w:sz w:val="24"/>
          <w:szCs w:val="24"/>
          <w:u w:val="single"/>
        </w:rPr>
        <w:t>（一）</w:t>
      </w:r>
      <w:r>
        <w:rPr>
          <w:rFonts w:hint="eastAsia" w:ascii="仿宋_GB2312" w:eastAsia="仿宋_GB2312"/>
          <w:color w:val="auto"/>
          <w:sz w:val="24"/>
          <w:szCs w:val="24"/>
        </w:rPr>
        <w:t>种解决方式：</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（一）向甲方所在地人民法院提起诉讼；</w:t>
      </w:r>
    </w:p>
    <w:p>
      <w:pPr>
        <w:tabs>
          <w:tab w:val="left" w:pos="0"/>
        </w:tabs>
        <w:spacing w:line="360" w:lineRule="auto"/>
        <w:ind w:firstLine="480" w:firstLineChars="200"/>
        <w:rPr>
          <w:rFonts w:ascii="仿宋_GB2312" w:eastAsia="仿宋_GB2312"/>
          <w:color w:val="auto"/>
          <w:sz w:val="24"/>
          <w:szCs w:val="24"/>
        </w:rPr>
      </w:pPr>
      <w:r>
        <w:rPr>
          <w:rFonts w:hint="eastAsia" w:ascii="仿宋_GB2312" w:eastAsia="仿宋_GB2312"/>
          <w:color w:val="auto"/>
          <w:sz w:val="24"/>
          <w:szCs w:val="24"/>
        </w:rPr>
        <w:t>（二）提交</w:t>
      </w:r>
      <w:r>
        <w:rPr>
          <w:rFonts w:hint="eastAsia" w:ascii="仿宋_GB2312" w:eastAsia="仿宋_GB2312"/>
          <w:color w:val="auto"/>
          <w:sz w:val="24"/>
          <w:szCs w:val="24"/>
          <w:lang w:val="en-US" w:eastAsia="zh-CN"/>
        </w:rPr>
        <w:t>甲方当地</w:t>
      </w:r>
      <w:r>
        <w:rPr>
          <w:rFonts w:hint="eastAsia" w:ascii="仿宋_GB2312" w:eastAsia="仿宋_GB2312"/>
          <w:color w:val="auto"/>
          <w:sz w:val="24"/>
          <w:szCs w:val="24"/>
        </w:rPr>
        <w:t>仲裁委员会仲裁。</w:t>
      </w:r>
    </w:p>
    <w:p>
      <w:pPr>
        <w:tabs>
          <w:tab w:val="left" w:pos="0"/>
        </w:tabs>
        <w:spacing w:line="360" w:lineRule="auto"/>
        <w:ind w:firstLine="480" w:firstLineChars="200"/>
        <w:rPr>
          <w:rFonts w:hint="eastAsia" w:ascii="仿宋_GB2312" w:eastAsia="仿宋_GB2312"/>
          <w:color w:val="auto"/>
          <w:sz w:val="24"/>
          <w:szCs w:val="24"/>
        </w:rPr>
      </w:pPr>
    </w:p>
    <w:p>
      <w:pPr>
        <w:pStyle w:val="2"/>
        <w:rPr>
          <w:rFonts w:hint="eastAsia"/>
          <w:color w:val="auto"/>
        </w:rPr>
      </w:pPr>
      <w:r>
        <w:rPr>
          <w:rFonts w:hint="eastAsia"/>
          <w:color w:val="auto"/>
        </w:rPr>
        <w:t>十一、双方对其他有关事项的约定</w:t>
      </w:r>
    </w:p>
    <w:p>
      <w:pPr>
        <w:tabs>
          <w:tab w:val="left" w:pos="0"/>
        </w:tabs>
        <w:spacing w:line="360" w:lineRule="auto"/>
        <w:ind w:firstLine="480" w:firstLineChars="200"/>
        <w:rPr>
          <w:rFonts w:hint="eastAsia" w:ascii="仿宋_GB2312" w:eastAsia="仿宋_GB2312"/>
          <w:color w:val="auto"/>
          <w:sz w:val="24"/>
          <w:szCs w:val="24"/>
        </w:rPr>
      </w:pPr>
      <w:r>
        <w:rPr>
          <w:rFonts w:hint="eastAsia" w:ascii="仿宋_GB2312" w:eastAsia="仿宋_GB2312"/>
          <w:color w:val="auto"/>
          <w:sz w:val="24"/>
          <w:szCs w:val="24"/>
        </w:rPr>
        <w:t>1.</w:t>
      </w:r>
      <w:r>
        <w:rPr>
          <w:rFonts w:ascii="仿宋_GB2312" w:eastAsia="仿宋_GB2312"/>
          <w:color w:val="auto"/>
          <w:sz w:val="24"/>
          <w:szCs w:val="24"/>
        </w:rPr>
        <w:t xml:space="preserve"> </w:t>
      </w:r>
      <w:r>
        <w:rPr>
          <w:rFonts w:hint="eastAsia" w:ascii="仿宋_GB2312" w:eastAsia="仿宋_GB2312"/>
          <w:color w:val="auto"/>
          <w:sz w:val="24"/>
          <w:szCs w:val="24"/>
        </w:rPr>
        <w:t>本约定书一式</w:t>
      </w:r>
      <w:r>
        <w:rPr>
          <w:rFonts w:hint="eastAsia" w:ascii="仿宋_GB2312" w:eastAsia="仿宋_GB2312"/>
          <w:color w:val="auto"/>
          <w:sz w:val="24"/>
          <w:szCs w:val="24"/>
          <w:u w:val="single"/>
        </w:rPr>
        <w:t>肆</w:t>
      </w:r>
      <w:r>
        <w:rPr>
          <w:rFonts w:hint="eastAsia" w:ascii="仿宋_GB2312" w:eastAsia="仿宋_GB2312"/>
          <w:color w:val="auto"/>
          <w:sz w:val="24"/>
          <w:szCs w:val="24"/>
        </w:rPr>
        <w:t>份，甲、乙双方各执</w:t>
      </w:r>
      <w:r>
        <w:rPr>
          <w:rFonts w:hint="eastAsia" w:ascii="仿宋_GB2312" w:eastAsia="仿宋_GB2312"/>
          <w:color w:val="auto"/>
          <w:sz w:val="24"/>
          <w:szCs w:val="24"/>
          <w:u w:val="single"/>
        </w:rPr>
        <w:t>贰</w:t>
      </w:r>
      <w:r>
        <w:rPr>
          <w:rFonts w:hint="eastAsia" w:ascii="仿宋_GB2312" w:eastAsia="仿宋_GB2312"/>
          <w:color w:val="auto"/>
          <w:sz w:val="24"/>
          <w:szCs w:val="24"/>
        </w:rPr>
        <w:t>份，具有同等法律效力。</w:t>
      </w:r>
    </w:p>
    <w:p>
      <w:pPr>
        <w:keepNext w:val="0"/>
        <w:keepLines w:val="0"/>
        <w:pageBreakBefore w:val="0"/>
        <w:widowControl w:val="0"/>
        <w:kinsoku/>
        <w:wordWrap/>
        <w:overflowPunct/>
        <w:topLinePunct w:val="0"/>
        <w:autoSpaceDE w:val="0"/>
        <w:autoSpaceDN w:val="0"/>
        <w:bidi w:val="0"/>
        <w:adjustRightInd/>
        <w:snapToGrid/>
        <w:spacing w:after="157" w:afterLines="50" w:line="360" w:lineRule="auto"/>
        <w:ind w:firstLine="480" w:firstLineChars="200"/>
        <w:textAlignment w:val="auto"/>
        <w:rPr>
          <w:rFonts w:hint="eastAsia" w:ascii="仿宋_GB2312" w:eastAsia="仿宋_GB2312"/>
          <w:color w:val="auto"/>
          <w:sz w:val="24"/>
          <w:szCs w:val="24"/>
        </w:rPr>
      </w:pPr>
      <w:r>
        <w:rPr>
          <w:rFonts w:hint="eastAsia" w:ascii="仿宋_GB2312" w:eastAsia="仿宋_GB2312"/>
          <w:color w:val="auto"/>
          <w:sz w:val="24"/>
          <w:szCs w:val="24"/>
        </w:rPr>
        <w:t>2.</w:t>
      </w:r>
      <w:r>
        <w:rPr>
          <w:rFonts w:ascii="仿宋_GB2312" w:eastAsia="仿宋_GB2312"/>
          <w:color w:val="auto"/>
          <w:sz w:val="24"/>
          <w:szCs w:val="24"/>
        </w:rPr>
        <w:t xml:space="preserve"> </w:t>
      </w:r>
      <w:r>
        <w:rPr>
          <w:rFonts w:hint="eastAsia" w:ascii="仿宋_GB2312" w:eastAsia="仿宋_GB2312"/>
          <w:color w:val="auto"/>
          <w:sz w:val="24"/>
          <w:szCs w:val="24"/>
        </w:rPr>
        <w:t>本业务约定书的通知均应当使用专人递交、挂号信或电子邮箱的方式发送至对方。如该通知以口头方式发出，应尽快在合理的时间内以书面形式向对方确认。如果一方联系地址改变，则应当尽快书面通知对方；如未及时通知，对方按照原定的通信联络方式发送通知，通知视为送达对方，由此造成的损失由变更方承担。双方的通讯联络方式如下：</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3"/>
        <w:gridCol w:w="3110"/>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2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通讯联络方式</w:t>
            </w:r>
          </w:p>
        </w:tc>
        <w:tc>
          <w:tcPr>
            <w:tcW w:w="3110"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甲方</w:t>
            </w:r>
          </w:p>
        </w:tc>
        <w:tc>
          <w:tcPr>
            <w:tcW w:w="3072"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2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联络人</w:t>
            </w:r>
          </w:p>
        </w:tc>
        <w:tc>
          <w:tcPr>
            <w:tcW w:w="3110" w:type="dxa"/>
            <w:noWrap w:val="0"/>
            <w:vAlign w:val="center"/>
          </w:tcPr>
          <w:p>
            <w:pPr>
              <w:tabs>
                <w:tab w:val="left" w:pos="0"/>
              </w:tabs>
              <w:spacing w:line="360"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 xml:space="preserve"> </w:t>
            </w:r>
          </w:p>
        </w:tc>
        <w:tc>
          <w:tcPr>
            <w:tcW w:w="3072" w:type="dxa"/>
            <w:noWrap w:val="0"/>
            <w:vAlign w:val="center"/>
          </w:tcPr>
          <w:p>
            <w:pPr>
              <w:tabs>
                <w:tab w:val="left" w:pos="0"/>
              </w:tabs>
              <w:spacing w:line="360"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2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手机</w:t>
            </w:r>
          </w:p>
        </w:tc>
        <w:tc>
          <w:tcPr>
            <w:tcW w:w="3110" w:type="dxa"/>
            <w:noWrap w:val="0"/>
            <w:vAlign w:val="center"/>
          </w:tcPr>
          <w:p>
            <w:pPr>
              <w:tabs>
                <w:tab w:val="left" w:pos="0"/>
              </w:tabs>
              <w:spacing w:line="360" w:lineRule="auto"/>
              <w:jc w:val="center"/>
              <w:rPr>
                <w:rFonts w:ascii="仿宋_GB2312" w:eastAsia="仿宋_GB2312"/>
                <w:color w:val="auto"/>
                <w:sz w:val="24"/>
                <w:szCs w:val="24"/>
              </w:rPr>
            </w:pPr>
            <w:r>
              <w:rPr>
                <w:rFonts w:ascii="仿宋_GB2312" w:eastAsia="仿宋_GB2312"/>
                <w:color w:val="auto"/>
                <w:sz w:val="24"/>
                <w:szCs w:val="24"/>
              </w:rPr>
              <w:t>0777-5988 950</w:t>
            </w:r>
          </w:p>
        </w:tc>
        <w:tc>
          <w:tcPr>
            <w:tcW w:w="3072" w:type="dxa"/>
            <w:noWrap w:val="0"/>
            <w:vAlign w:val="center"/>
          </w:tcPr>
          <w:p>
            <w:pPr>
              <w:tabs>
                <w:tab w:val="left" w:pos="0"/>
              </w:tabs>
              <w:spacing w:line="360" w:lineRule="auto"/>
              <w:jc w:val="center"/>
              <w:rPr>
                <w:rFonts w:hint="eastAsia"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2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电子邮箱</w:t>
            </w:r>
          </w:p>
        </w:tc>
        <w:tc>
          <w:tcPr>
            <w:tcW w:w="3110" w:type="dxa"/>
            <w:noWrap w:val="0"/>
            <w:vAlign w:val="center"/>
          </w:tcPr>
          <w:p>
            <w:pPr>
              <w:tabs>
                <w:tab w:val="left" w:pos="0"/>
              </w:tabs>
              <w:spacing w:line="360" w:lineRule="auto"/>
              <w:jc w:val="center"/>
              <w:rPr>
                <w:rFonts w:ascii="仿宋_GB2312" w:eastAsia="仿宋_GB2312"/>
                <w:color w:val="auto"/>
                <w:sz w:val="24"/>
                <w:szCs w:val="24"/>
              </w:rPr>
            </w:pPr>
            <w:r>
              <w:rPr>
                <w:rFonts w:hint="eastAsia" w:ascii="仿宋_GB2312" w:eastAsia="仿宋_GB2312"/>
                <w:color w:val="auto"/>
                <w:sz w:val="24"/>
                <w:szCs w:val="24"/>
                <w:lang w:val="en-US" w:eastAsia="zh-CN"/>
              </w:rPr>
              <w:t xml:space="preserve"> </w:t>
            </w:r>
            <w:r>
              <w:rPr>
                <w:rFonts w:hint="eastAsia" w:ascii="仿宋_GB2312" w:eastAsia="仿宋_GB2312"/>
                <w:color w:val="auto"/>
                <w:sz w:val="24"/>
                <w:szCs w:val="24"/>
              </w:rPr>
              <w:t>@cmqip.com.cn</w:t>
            </w:r>
          </w:p>
        </w:tc>
        <w:tc>
          <w:tcPr>
            <w:tcW w:w="3072" w:type="dxa"/>
            <w:noWrap w:val="0"/>
            <w:vAlign w:val="center"/>
          </w:tcPr>
          <w:p>
            <w:pPr>
              <w:tabs>
                <w:tab w:val="left" w:pos="0"/>
              </w:tabs>
              <w:spacing w:line="360" w:lineRule="auto"/>
              <w:jc w:val="center"/>
              <w:rPr>
                <w:rFonts w:hint="default" w:ascii="仿宋_GB2312" w:eastAsia="仿宋_GB2312"/>
                <w:color w:val="auto"/>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32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地址</w:t>
            </w:r>
          </w:p>
        </w:tc>
        <w:tc>
          <w:tcPr>
            <w:tcW w:w="3110"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广西壮族自治区钦州市中马钦州产业园区友谊大道88号中马广场5号写字楼19层</w:t>
            </w:r>
          </w:p>
        </w:tc>
        <w:tc>
          <w:tcPr>
            <w:tcW w:w="3072" w:type="dxa"/>
            <w:noWrap w:val="0"/>
            <w:vAlign w:val="center"/>
          </w:tcPr>
          <w:p>
            <w:pPr>
              <w:tabs>
                <w:tab w:val="left" w:pos="0"/>
              </w:tabs>
              <w:spacing w:line="360" w:lineRule="auto"/>
              <w:jc w:val="center"/>
              <w:rPr>
                <w:rFonts w:hint="eastAsia" w:ascii="仿宋_GB2312" w:eastAsia="仿宋_GB2312"/>
                <w:color w:val="auto"/>
                <w:sz w:val="24"/>
                <w:szCs w:val="24"/>
                <w:lang w:val="en-US" w:eastAsia="zh-CN"/>
              </w:rPr>
            </w:pPr>
            <w:r>
              <w:rPr>
                <w:rFonts w:hint="eastAsia" w:ascii="仿宋" w:hAnsi="仿宋" w:eastAsia="仿宋"/>
                <w:color w:val="auto"/>
                <w:sz w:val="24"/>
                <w:szCs w:val="24"/>
                <w:lang w:val="en-US" w:eastAsia="zh-CN"/>
              </w:rPr>
              <w:t xml:space="preserve"> </w:t>
            </w:r>
          </w:p>
        </w:tc>
      </w:tr>
    </w:tbl>
    <w:p>
      <w:pPr>
        <w:keepNext w:val="0"/>
        <w:keepLines w:val="0"/>
        <w:pageBreakBefore w:val="0"/>
        <w:widowControl w:val="0"/>
        <w:tabs>
          <w:tab w:val="left" w:pos="0"/>
        </w:tabs>
        <w:kinsoku/>
        <w:wordWrap/>
        <w:overflowPunct/>
        <w:topLinePunct w:val="0"/>
        <w:autoSpaceDE/>
        <w:autoSpaceDN/>
        <w:bidi w:val="0"/>
        <w:adjustRightInd/>
        <w:snapToGrid/>
        <w:spacing w:before="157" w:beforeLines="50" w:line="360" w:lineRule="auto"/>
        <w:jc w:val="center"/>
        <w:textAlignment w:val="auto"/>
        <w:rPr>
          <w:rFonts w:hint="eastAsia" w:ascii="仿宋_GB2312" w:eastAsia="仿宋_GB2312"/>
          <w:color w:val="auto"/>
          <w:sz w:val="24"/>
          <w:szCs w:val="24"/>
        </w:rPr>
      </w:pPr>
      <w:r>
        <w:rPr>
          <w:rFonts w:hint="eastAsia" w:ascii="仿宋_GB2312" w:eastAsia="仿宋_GB2312"/>
          <w:color w:val="auto"/>
          <w:sz w:val="24"/>
          <w:szCs w:val="24"/>
        </w:rPr>
        <w:t>3、双方同意下列银行账户和纳税信息作为收款和付款以及发票之用：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3060"/>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3" w:type="dxa"/>
            <w:noWrap w:val="0"/>
            <w:vAlign w:val="center"/>
          </w:tcPr>
          <w:p>
            <w:pPr>
              <w:tabs>
                <w:tab w:val="left" w:pos="0"/>
              </w:tabs>
              <w:spacing w:line="360" w:lineRule="auto"/>
              <w:jc w:val="center"/>
              <w:rPr>
                <w:rFonts w:hint="eastAsia" w:ascii="仿宋_GB2312" w:eastAsia="仿宋_GB2312"/>
                <w:color w:val="auto"/>
                <w:sz w:val="24"/>
                <w:szCs w:val="24"/>
              </w:rPr>
            </w:pPr>
          </w:p>
        </w:tc>
        <w:tc>
          <w:tcPr>
            <w:tcW w:w="3060"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甲方</w:t>
            </w:r>
          </w:p>
        </w:tc>
        <w:tc>
          <w:tcPr>
            <w:tcW w:w="3132"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企业名称</w:t>
            </w:r>
          </w:p>
        </w:tc>
        <w:tc>
          <w:tcPr>
            <w:tcW w:w="3060"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广西中马钦州产业园区开发有限公司</w:t>
            </w:r>
          </w:p>
        </w:tc>
        <w:tc>
          <w:tcPr>
            <w:tcW w:w="3132" w:type="dxa"/>
            <w:noWrap w:val="0"/>
            <w:vAlign w:val="center"/>
          </w:tcPr>
          <w:p>
            <w:pPr>
              <w:tabs>
                <w:tab w:val="left" w:pos="0"/>
              </w:tabs>
              <w:spacing w:line="360" w:lineRule="auto"/>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开户行</w:t>
            </w:r>
          </w:p>
        </w:tc>
        <w:tc>
          <w:tcPr>
            <w:tcW w:w="3060"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中国建设银行股份有限公司钦州港区支行</w:t>
            </w:r>
          </w:p>
        </w:tc>
        <w:tc>
          <w:tcPr>
            <w:tcW w:w="3132" w:type="dxa"/>
            <w:noWrap w:val="0"/>
            <w:vAlign w:val="center"/>
          </w:tcPr>
          <w:p>
            <w:pPr>
              <w:tabs>
                <w:tab w:val="left" w:pos="0"/>
              </w:tabs>
              <w:spacing w:line="360" w:lineRule="auto"/>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账号</w:t>
            </w:r>
          </w:p>
        </w:tc>
        <w:tc>
          <w:tcPr>
            <w:tcW w:w="3060"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45001659851059118168</w:t>
            </w:r>
          </w:p>
        </w:tc>
        <w:tc>
          <w:tcPr>
            <w:tcW w:w="3132" w:type="dxa"/>
            <w:noWrap w:val="0"/>
            <w:vAlign w:val="center"/>
          </w:tcPr>
          <w:p>
            <w:pPr>
              <w:tabs>
                <w:tab w:val="left" w:pos="0"/>
              </w:tabs>
              <w:spacing w:line="360" w:lineRule="auto"/>
              <w:jc w:val="center"/>
              <w:rPr>
                <w:rFonts w:hint="eastAsia" w:ascii="仿宋_GB2312" w:eastAsia="仿宋_GB2312"/>
                <w:color w:val="auto"/>
                <w:sz w:val="24"/>
                <w:szCs w:val="24"/>
                <w:lang w:eastAsia="zh-CN"/>
              </w:rPr>
            </w:pPr>
            <w:r>
              <w:rPr>
                <w:rFonts w:hint="eastAsia" w:ascii="仿宋" w:hAnsi="仿宋" w:eastAsia="仿宋"/>
                <w:color w:val="auto"/>
                <w:sz w:val="24"/>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纳税识别号</w:t>
            </w:r>
          </w:p>
        </w:tc>
        <w:tc>
          <w:tcPr>
            <w:tcW w:w="3060"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91450700083610268U</w:t>
            </w:r>
          </w:p>
        </w:tc>
        <w:tc>
          <w:tcPr>
            <w:tcW w:w="3132" w:type="dxa"/>
            <w:noWrap w:val="0"/>
            <w:vAlign w:val="center"/>
          </w:tcPr>
          <w:p>
            <w:pPr>
              <w:tabs>
                <w:tab w:val="left" w:pos="0"/>
              </w:tabs>
              <w:spacing w:line="360" w:lineRule="auto"/>
              <w:jc w:val="center"/>
              <w:rPr>
                <w:rFonts w:hint="eastAsia" w:ascii="仿宋_GB2312" w:eastAsia="仿宋_GB2312"/>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13"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电话</w:t>
            </w:r>
          </w:p>
        </w:tc>
        <w:tc>
          <w:tcPr>
            <w:tcW w:w="3060" w:type="dxa"/>
            <w:noWrap w:val="0"/>
            <w:vAlign w:val="center"/>
          </w:tcPr>
          <w:p>
            <w:pPr>
              <w:tabs>
                <w:tab w:val="left" w:pos="0"/>
              </w:tabs>
              <w:spacing w:line="360" w:lineRule="auto"/>
              <w:jc w:val="center"/>
              <w:rPr>
                <w:rFonts w:hint="eastAsia" w:ascii="仿宋_GB2312" w:eastAsia="仿宋_GB2312"/>
                <w:color w:val="auto"/>
                <w:sz w:val="24"/>
                <w:szCs w:val="24"/>
              </w:rPr>
            </w:pPr>
            <w:r>
              <w:rPr>
                <w:rFonts w:hint="eastAsia" w:ascii="仿宋_GB2312" w:eastAsia="仿宋_GB2312"/>
                <w:color w:val="auto"/>
                <w:sz w:val="24"/>
                <w:szCs w:val="24"/>
              </w:rPr>
              <w:t>0777-5988988</w:t>
            </w:r>
          </w:p>
        </w:tc>
        <w:tc>
          <w:tcPr>
            <w:tcW w:w="3132" w:type="dxa"/>
            <w:noWrap w:val="0"/>
            <w:vAlign w:val="center"/>
          </w:tcPr>
          <w:p>
            <w:pPr>
              <w:tabs>
                <w:tab w:val="left" w:pos="0"/>
              </w:tabs>
              <w:spacing w:line="360" w:lineRule="auto"/>
              <w:jc w:val="center"/>
              <w:rPr>
                <w:rFonts w:hint="default" w:ascii="仿宋_GB2312" w:eastAsia="仿宋_GB2312"/>
                <w:color w:val="auto"/>
                <w:sz w:val="24"/>
                <w:szCs w:val="24"/>
                <w:lang w:val="en-US"/>
              </w:rPr>
            </w:pPr>
          </w:p>
        </w:tc>
      </w:tr>
    </w:tbl>
    <w:p>
      <w:pPr>
        <w:tabs>
          <w:tab w:val="left" w:pos="0"/>
        </w:tabs>
        <w:snapToGrid w:val="0"/>
        <w:spacing w:line="280" w:lineRule="exact"/>
        <w:ind w:firstLine="424" w:firstLineChars="177"/>
        <w:jc w:val="left"/>
        <w:rPr>
          <w:rFonts w:hint="eastAsia" w:ascii="仿宋" w:hAnsi="仿宋" w:eastAsia="仿宋"/>
          <w:color w:val="auto"/>
          <w:sz w:val="24"/>
          <w:szCs w:val="24"/>
        </w:rPr>
      </w:pPr>
    </w:p>
    <w:p>
      <w:pPr>
        <w:tabs>
          <w:tab w:val="left" w:pos="0"/>
        </w:tabs>
        <w:snapToGrid w:val="0"/>
        <w:spacing w:line="280" w:lineRule="exact"/>
        <w:ind w:firstLine="424" w:firstLineChars="177"/>
        <w:jc w:val="left"/>
        <w:rPr>
          <w:rFonts w:hint="eastAsia" w:ascii="仿宋" w:hAnsi="仿宋" w:eastAsia="仿宋"/>
          <w:color w:val="auto"/>
          <w:sz w:val="24"/>
          <w:szCs w:val="24"/>
        </w:rPr>
      </w:pPr>
      <w:r>
        <w:rPr>
          <w:rFonts w:hint="eastAsia" w:ascii="仿宋" w:hAnsi="仿宋" w:eastAsia="仿宋"/>
          <w:color w:val="auto"/>
          <w:sz w:val="24"/>
          <w:szCs w:val="24"/>
        </w:rPr>
        <w:t>（以下无正文）</w:t>
      </w:r>
    </w:p>
    <w:p>
      <w:pPr>
        <w:rPr>
          <w:rFonts w:hint="eastAsia" w:ascii="仿宋" w:hAnsi="仿宋" w:eastAsia="仿宋"/>
          <w:color w:val="auto"/>
          <w:sz w:val="24"/>
        </w:rPr>
      </w:pPr>
    </w:p>
    <w:p>
      <w:pPr>
        <w:rPr>
          <w:rFonts w:hint="eastAsia" w:ascii="仿宋" w:hAnsi="仿宋" w:eastAsia="仿宋"/>
          <w:color w:val="auto"/>
          <w:sz w:val="24"/>
        </w:rPr>
      </w:pPr>
      <w:r>
        <w:rPr>
          <w:rFonts w:hint="eastAsia" w:ascii="仿宋" w:hAnsi="仿宋" w:eastAsia="仿宋"/>
          <w:color w:val="auto"/>
          <w:sz w:val="24"/>
        </w:rPr>
        <w:br w:type="page"/>
      </w:r>
    </w:p>
    <w:p>
      <w:pPr>
        <w:autoSpaceDE w:val="0"/>
        <w:autoSpaceDN w:val="0"/>
        <w:adjustRightInd w:val="0"/>
        <w:snapToGrid w:val="0"/>
        <w:spacing w:before="156" w:beforeLines="50" w:line="520" w:lineRule="exact"/>
        <w:ind w:firstLine="480" w:firstLineChars="200"/>
        <w:rPr>
          <w:rFonts w:hint="eastAsia" w:ascii="仿宋_GB2312" w:eastAsia="仿宋_GB2312"/>
          <w:color w:val="auto"/>
          <w:sz w:val="24"/>
          <w:szCs w:val="24"/>
          <w:lang w:val="en-US" w:eastAsia="zh-CN"/>
        </w:rPr>
      </w:pPr>
      <w:r>
        <w:rPr>
          <w:rFonts w:hint="eastAsia" w:ascii="仿宋" w:hAnsi="仿宋" w:eastAsia="仿宋"/>
          <w:color w:val="auto"/>
          <w:sz w:val="24"/>
        </w:rPr>
        <w:t>（本页无正文，为协议签署页。）</w:t>
      </w:r>
    </w:p>
    <w:p>
      <w:pPr>
        <w:autoSpaceDE w:val="0"/>
        <w:autoSpaceDN w:val="0"/>
        <w:adjustRightInd w:val="0"/>
        <w:snapToGrid w:val="0"/>
        <w:spacing w:before="156" w:beforeLines="50" w:line="520" w:lineRule="exact"/>
        <w:ind w:firstLine="480" w:firstLineChars="200"/>
        <w:rPr>
          <w:rFonts w:hint="eastAsia" w:ascii="仿宋_GB2312" w:eastAsia="仿宋_GB2312"/>
          <w:color w:val="auto"/>
          <w:sz w:val="24"/>
          <w:szCs w:val="24"/>
          <w:lang w:val="en-US" w:eastAsia="zh-CN"/>
        </w:rPr>
      </w:pPr>
    </w:p>
    <w:p>
      <w:pPr>
        <w:autoSpaceDE w:val="0"/>
        <w:autoSpaceDN w:val="0"/>
        <w:adjustRightInd w:val="0"/>
        <w:snapToGrid w:val="0"/>
        <w:spacing w:before="156" w:beforeLines="50" w:line="520" w:lineRule="exact"/>
        <w:ind w:firstLine="480" w:firstLineChars="200"/>
        <w:rPr>
          <w:rFonts w:hint="eastAsia" w:ascii="仿宋_GB2312" w:eastAsia="仿宋_GB2312"/>
          <w:color w:val="auto"/>
          <w:sz w:val="24"/>
          <w:szCs w:val="24"/>
          <w:lang w:val="en-US" w:eastAsia="zh-C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tabs>
          <w:tab w:val="left" w:pos="0"/>
        </w:tabs>
        <w:spacing w:line="360" w:lineRule="auto"/>
        <w:ind w:right="-153" w:rightChars="-73"/>
        <w:jc w:val="left"/>
        <w:rPr>
          <w:rFonts w:ascii="黑体" w:hAnsi="黑体" w:eastAsia="黑体"/>
          <w:b/>
          <w:bCs/>
          <w:color w:val="auto"/>
          <w:sz w:val="24"/>
        </w:rPr>
      </w:pPr>
      <w:r>
        <w:rPr>
          <w:rFonts w:hint="eastAsia" w:ascii="黑体" w:hAnsi="黑体" w:eastAsia="黑体"/>
          <w:b/>
          <w:bCs/>
          <w:color w:val="auto"/>
          <w:sz w:val="24"/>
        </w:rPr>
        <w:t xml:space="preserve">甲 </w:t>
      </w:r>
      <w:r>
        <w:rPr>
          <w:rFonts w:ascii="黑体" w:hAnsi="黑体" w:eastAsia="黑体"/>
          <w:b/>
          <w:bCs/>
          <w:color w:val="auto"/>
          <w:sz w:val="24"/>
        </w:rPr>
        <w:t xml:space="preserve"> </w:t>
      </w:r>
      <w:r>
        <w:rPr>
          <w:rFonts w:hint="eastAsia" w:ascii="黑体" w:hAnsi="黑体" w:eastAsia="黑体"/>
          <w:b/>
          <w:bCs/>
          <w:color w:val="auto"/>
          <w:sz w:val="24"/>
        </w:rPr>
        <w:t>方：（盖章）</w:t>
      </w:r>
    </w:p>
    <w:p>
      <w:pPr>
        <w:tabs>
          <w:tab w:val="left" w:pos="0"/>
        </w:tabs>
        <w:spacing w:line="360" w:lineRule="auto"/>
        <w:ind w:right="-153" w:rightChars="-73"/>
        <w:jc w:val="left"/>
        <w:rPr>
          <w:rFonts w:ascii="仿宋" w:hAnsi="仿宋" w:eastAsia="仿宋"/>
          <w:color w:val="auto"/>
          <w:sz w:val="24"/>
        </w:rPr>
      </w:pPr>
      <w:r>
        <w:rPr>
          <w:rFonts w:hint="eastAsia" w:ascii="仿宋" w:hAnsi="仿宋" w:eastAsia="仿宋"/>
          <w:color w:val="auto"/>
          <w:sz w:val="24"/>
        </w:rPr>
        <w:t>广西中马钦州产业园区开发有限公司</w:t>
      </w:r>
    </w:p>
    <w:p>
      <w:pPr>
        <w:tabs>
          <w:tab w:val="left" w:pos="0"/>
        </w:tabs>
        <w:spacing w:line="360" w:lineRule="auto"/>
        <w:ind w:right="-153" w:rightChars="-73"/>
        <w:jc w:val="left"/>
        <w:rPr>
          <w:rFonts w:hint="eastAsia" w:ascii="仿宋" w:hAnsi="仿宋" w:eastAsia="仿宋"/>
          <w:color w:val="auto"/>
          <w:sz w:val="24"/>
        </w:rPr>
      </w:pPr>
    </w:p>
    <w:p>
      <w:pPr>
        <w:tabs>
          <w:tab w:val="left" w:pos="0"/>
        </w:tabs>
        <w:spacing w:line="360" w:lineRule="auto"/>
        <w:ind w:right="-153" w:rightChars="-73"/>
        <w:jc w:val="left"/>
        <w:rPr>
          <w:rFonts w:ascii="仿宋" w:hAnsi="仿宋" w:eastAsia="仿宋"/>
          <w:color w:val="auto"/>
          <w:sz w:val="24"/>
        </w:rPr>
      </w:pPr>
      <w:r>
        <w:rPr>
          <w:rFonts w:hint="eastAsia" w:ascii="黑体" w:hAnsi="黑体" w:eastAsia="黑体"/>
          <w:b/>
          <w:bCs/>
          <w:color w:val="auto"/>
          <w:sz w:val="24"/>
        </w:rPr>
        <w:t>法定代表人：（签字或签章）</w:t>
      </w:r>
      <w:r>
        <w:rPr>
          <w:rFonts w:hint="eastAsia" w:ascii="仿宋" w:hAnsi="仿宋" w:eastAsia="仿宋"/>
          <w:color w:val="auto"/>
          <w:sz w:val="24"/>
        </w:rPr>
        <w:t xml:space="preserve"> </w:t>
      </w:r>
    </w:p>
    <w:p>
      <w:pPr>
        <w:tabs>
          <w:tab w:val="left" w:pos="0"/>
        </w:tabs>
        <w:spacing w:line="360" w:lineRule="auto"/>
        <w:ind w:right="-153" w:rightChars="-73"/>
        <w:jc w:val="left"/>
        <w:rPr>
          <w:rFonts w:hint="eastAsia" w:ascii="仿宋" w:hAnsi="仿宋" w:eastAsia="仿宋"/>
          <w:color w:val="auto"/>
          <w:sz w:val="24"/>
        </w:rPr>
      </w:pPr>
    </w:p>
    <w:p>
      <w:pPr>
        <w:tabs>
          <w:tab w:val="left" w:pos="0"/>
        </w:tabs>
        <w:spacing w:line="360" w:lineRule="auto"/>
        <w:ind w:right="-153" w:rightChars="-73"/>
        <w:jc w:val="left"/>
        <w:rPr>
          <w:rFonts w:ascii="黑体" w:hAnsi="黑体" w:eastAsia="黑体"/>
          <w:b/>
          <w:bCs/>
          <w:color w:val="auto"/>
          <w:sz w:val="24"/>
        </w:rPr>
      </w:pPr>
      <w:r>
        <w:rPr>
          <w:rFonts w:hint="eastAsia" w:ascii="黑体" w:hAnsi="黑体" w:eastAsia="黑体"/>
          <w:b/>
          <w:bCs/>
          <w:color w:val="auto"/>
          <w:sz w:val="24"/>
        </w:rPr>
        <w:t>委托代理人：（签字）</w:t>
      </w:r>
    </w:p>
    <w:p>
      <w:pPr>
        <w:tabs>
          <w:tab w:val="left" w:pos="0"/>
        </w:tabs>
        <w:spacing w:line="360" w:lineRule="auto"/>
        <w:ind w:right="-153" w:rightChars="-73"/>
        <w:jc w:val="left"/>
        <w:rPr>
          <w:rFonts w:hint="eastAsia" w:ascii="仿宋" w:hAnsi="仿宋" w:eastAsia="仿宋"/>
          <w:color w:val="auto"/>
          <w:sz w:val="24"/>
        </w:rPr>
      </w:pPr>
    </w:p>
    <w:p>
      <w:pPr>
        <w:tabs>
          <w:tab w:val="left" w:pos="0"/>
        </w:tabs>
        <w:spacing w:line="360" w:lineRule="auto"/>
        <w:ind w:right="-153" w:rightChars="-73"/>
        <w:jc w:val="left"/>
        <w:rPr>
          <w:rFonts w:ascii="黑体" w:hAnsi="黑体" w:eastAsia="黑体"/>
          <w:b/>
          <w:bCs/>
          <w:color w:val="auto"/>
          <w:sz w:val="24"/>
        </w:rPr>
      </w:pPr>
      <w:bookmarkStart w:id="0" w:name="_Hlk78966547"/>
      <w:r>
        <w:rPr>
          <w:rFonts w:hint="eastAsia" w:ascii="黑体" w:hAnsi="黑体" w:eastAsia="黑体"/>
          <w:b/>
          <w:bCs/>
          <w:color w:val="auto"/>
          <w:sz w:val="24"/>
        </w:rPr>
        <w:t>通讯地址</w:t>
      </w:r>
      <w:bookmarkEnd w:id="0"/>
      <w:r>
        <w:rPr>
          <w:rFonts w:hint="eastAsia" w:ascii="黑体" w:hAnsi="黑体" w:eastAsia="黑体"/>
          <w:b/>
          <w:bCs/>
          <w:color w:val="auto"/>
          <w:sz w:val="24"/>
        </w:rPr>
        <w:t>：</w:t>
      </w:r>
    </w:p>
    <w:p>
      <w:pPr>
        <w:tabs>
          <w:tab w:val="left" w:pos="0"/>
        </w:tabs>
        <w:spacing w:line="360" w:lineRule="auto"/>
        <w:ind w:right="-153" w:rightChars="-73"/>
        <w:jc w:val="left"/>
        <w:rPr>
          <w:rFonts w:ascii="仿宋" w:hAnsi="仿宋" w:eastAsia="仿宋"/>
          <w:color w:val="auto"/>
          <w:sz w:val="24"/>
        </w:rPr>
      </w:pPr>
      <w:r>
        <w:rPr>
          <w:rFonts w:hint="eastAsia" w:ascii="仿宋" w:hAnsi="仿宋" w:eastAsia="仿宋"/>
          <w:color w:val="auto"/>
          <w:sz w:val="24"/>
        </w:rPr>
        <w:t>广西壮族自治区钦州市中马钦州产业园区友谊大道88号中马广场5号写字楼19层</w:t>
      </w:r>
    </w:p>
    <w:p>
      <w:pPr>
        <w:tabs>
          <w:tab w:val="left" w:pos="0"/>
        </w:tabs>
        <w:spacing w:line="360" w:lineRule="auto"/>
        <w:ind w:right="-153" w:rightChars="-73"/>
        <w:jc w:val="left"/>
        <w:rPr>
          <w:rFonts w:hint="eastAsia" w:ascii="仿宋" w:hAnsi="仿宋" w:eastAsia="仿宋"/>
          <w:color w:val="auto"/>
          <w:sz w:val="24"/>
        </w:rPr>
      </w:pPr>
    </w:p>
    <w:p>
      <w:pPr>
        <w:tabs>
          <w:tab w:val="left" w:pos="0"/>
        </w:tabs>
        <w:spacing w:line="360" w:lineRule="auto"/>
        <w:ind w:right="-153" w:rightChars="-73"/>
        <w:jc w:val="left"/>
        <w:rPr>
          <w:rFonts w:ascii="黑体" w:hAnsi="黑体" w:eastAsia="黑体"/>
          <w:b/>
          <w:bCs/>
          <w:color w:val="auto"/>
          <w:sz w:val="24"/>
        </w:rPr>
      </w:pPr>
      <w:r>
        <w:rPr>
          <w:rFonts w:hint="eastAsia" w:ascii="黑体" w:hAnsi="黑体" w:eastAsia="黑体"/>
          <w:b/>
          <w:bCs/>
          <w:color w:val="auto"/>
          <w:sz w:val="24"/>
        </w:rPr>
        <w:t>开户银行：</w:t>
      </w:r>
    </w:p>
    <w:p>
      <w:pPr>
        <w:tabs>
          <w:tab w:val="left" w:pos="0"/>
        </w:tabs>
        <w:spacing w:line="360" w:lineRule="auto"/>
        <w:ind w:right="-153" w:rightChars="-73"/>
        <w:jc w:val="left"/>
        <w:rPr>
          <w:rFonts w:hint="eastAsia" w:ascii="仿宋" w:hAnsi="仿宋" w:eastAsia="仿宋"/>
          <w:color w:val="auto"/>
          <w:sz w:val="24"/>
        </w:rPr>
      </w:pPr>
      <w:r>
        <w:rPr>
          <w:rFonts w:hint="eastAsia" w:ascii="仿宋" w:hAnsi="仿宋" w:eastAsia="仿宋"/>
          <w:color w:val="auto"/>
          <w:sz w:val="24"/>
        </w:rPr>
        <w:t>中国建设银行股份有限公司钦州港区</w:t>
      </w:r>
    </w:p>
    <w:p>
      <w:pPr>
        <w:tabs>
          <w:tab w:val="left" w:pos="0"/>
        </w:tabs>
        <w:spacing w:line="360" w:lineRule="auto"/>
        <w:ind w:right="-153" w:rightChars="-73"/>
        <w:jc w:val="left"/>
        <w:rPr>
          <w:rFonts w:hint="eastAsia" w:ascii="仿宋" w:hAnsi="仿宋" w:eastAsia="仿宋"/>
          <w:color w:val="auto"/>
          <w:sz w:val="24"/>
        </w:rPr>
      </w:pPr>
      <w:r>
        <w:rPr>
          <w:rFonts w:hint="eastAsia" w:ascii="仿宋" w:hAnsi="仿宋" w:eastAsia="仿宋"/>
          <w:color w:val="auto"/>
          <w:sz w:val="24"/>
        </w:rPr>
        <w:t>支行</w:t>
      </w:r>
    </w:p>
    <w:p>
      <w:pPr>
        <w:tabs>
          <w:tab w:val="left" w:pos="0"/>
        </w:tabs>
        <w:spacing w:line="360" w:lineRule="auto"/>
        <w:ind w:right="-153" w:rightChars="-73"/>
        <w:jc w:val="left"/>
        <w:rPr>
          <w:rFonts w:ascii="仿宋" w:hAnsi="仿宋" w:eastAsia="仿宋"/>
          <w:color w:val="auto"/>
          <w:sz w:val="24"/>
        </w:rPr>
      </w:pPr>
      <w:r>
        <w:rPr>
          <w:rFonts w:hint="eastAsia" w:ascii="黑体" w:hAnsi="黑体" w:eastAsia="黑体"/>
          <w:b/>
          <w:bCs/>
          <w:color w:val="auto"/>
          <w:sz w:val="24"/>
        </w:rPr>
        <w:t>帐    号</w:t>
      </w:r>
      <w:r>
        <w:rPr>
          <w:rFonts w:hint="eastAsia" w:ascii="仿宋" w:hAnsi="仿宋" w:eastAsia="仿宋"/>
          <w:color w:val="auto"/>
          <w:sz w:val="24"/>
        </w:rPr>
        <w:t xml:space="preserve">：45001659851059118168 </w:t>
      </w:r>
    </w:p>
    <w:p>
      <w:pPr>
        <w:tabs>
          <w:tab w:val="left" w:pos="0"/>
        </w:tabs>
        <w:spacing w:line="360" w:lineRule="auto"/>
        <w:ind w:right="-153" w:rightChars="-73"/>
        <w:jc w:val="left"/>
        <w:rPr>
          <w:rFonts w:ascii="仿宋" w:hAnsi="仿宋" w:eastAsia="仿宋"/>
          <w:color w:val="auto"/>
          <w:sz w:val="24"/>
        </w:rPr>
      </w:pPr>
      <w:r>
        <w:rPr>
          <w:rFonts w:hint="eastAsia" w:ascii="黑体" w:hAnsi="黑体" w:eastAsia="黑体"/>
          <w:b/>
          <w:bCs/>
          <w:color w:val="auto"/>
          <w:sz w:val="24"/>
        </w:rPr>
        <w:t>邮政编码</w:t>
      </w:r>
      <w:r>
        <w:rPr>
          <w:rFonts w:hint="eastAsia" w:ascii="仿宋" w:hAnsi="仿宋" w:eastAsia="仿宋"/>
          <w:color w:val="auto"/>
          <w:sz w:val="24"/>
        </w:rPr>
        <w:t xml:space="preserve">：535000 </w:t>
      </w:r>
    </w:p>
    <w:p>
      <w:pPr>
        <w:tabs>
          <w:tab w:val="left" w:pos="0"/>
        </w:tabs>
        <w:spacing w:line="360" w:lineRule="auto"/>
        <w:ind w:right="-153" w:rightChars="-73"/>
        <w:jc w:val="left"/>
        <w:rPr>
          <w:rFonts w:ascii="仿宋" w:hAnsi="仿宋" w:eastAsia="仿宋"/>
          <w:color w:val="auto"/>
          <w:sz w:val="24"/>
        </w:rPr>
      </w:pPr>
      <w:r>
        <w:rPr>
          <w:rFonts w:hint="eastAsia" w:ascii="黑体" w:hAnsi="黑体" w:eastAsia="黑体"/>
          <w:b/>
          <w:bCs/>
          <w:color w:val="auto"/>
          <w:sz w:val="24"/>
        </w:rPr>
        <w:t>电    话</w:t>
      </w:r>
      <w:r>
        <w:rPr>
          <w:rFonts w:hint="eastAsia" w:ascii="仿宋" w:hAnsi="仿宋" w:eastAsia="仿宋"/>
          <w:color w:val="auto"/>
          <w:sz w:val="24"/>
        </w:rPr>
        <w:t xml:space="preserve">： </w:t>
      </w:r>
    </w:p>
    <w:p>
      <w:pPr>
        <w:tabs>
          <w:tab w:val="left" w:pos="0"/>
        </w:tabs>
        <w:spacing w:line="360" w:lineRule="auto"/>
        <w:ind w:right="-153" w:rightChars="-73"/>
        <w:jc w:val="left"/>
        <w:rPr>
          <w:rFonts w:hint="eastAsia" w:ascii="仿宋" w:hAnsi="仿宋" w:eastAsia="仿宋"/>
          <w:color w:val="auto"/>
          <w:sz w:val="24"/>
        </w:rPr>
      </w:pPr>
      <w:r>
        <w:rPr>
          <w:rFonts w:hint="eastAsia" w:ascii="黑体" w:hAnsi="黑体" w:eastAsia="黑体"/>
          <w:b/>
          <w:bCs/>
          <w:color w:val="auto"/>
          <w:sz w:val="24"/>
        </w:rPr>
        <w:t>电子信箱</w:t>
      </w:r>
      <w:r>
        <w:rPr>
          <w:rFonts w:hint="eastAsia" w:ascii="仿宋" w:hAnsi="仿宋" w:eastAsia="仿宋"/>
          <w:color w:val="auto"/>
          <w:sz w:val="24"/>
        </w:rPr>
        <w:t>：</w:t>
      </w:r>
    </w:p>
    <w:p>
      <w:pPr>
        <w:tabs>
          <w:tab w:val="left" w:pos="0"/>
        </w:tabs>
        <w:spacing w:line="360" w:lineRule="auto"/>
        <w:ind w:right="-153" w:rightChars="-73"/>
        <w:jc w:val="left"/>
        <w:rPr>
          <w:rFonts w:hint="eastAsia" w:ascii="仿宋" w:hAnsi="仿宋" w:eastAsia="仿宋"/>
          <w:color w:val="auto"/>
          <w:sz w:val="24"/>
        </w:rPr>
      </w:pPr>
    </w:p>
    <w:p>
      <w:pPr>
        <w:tabs>
          <w:tab w:val="left" w:pos="0"/>
        </w:tabs>
        <w:spacing w:line="360" w:lineRule="auto"/>
        <w:ind w:right="-153" w:rightChars="-73"/>
        <w:jc w:val="left"/>
        <w:rPr>
          <w:rFonts w:hint="eastAsia" w:ascii="黑体" w:hAnsi="黑体" w:eastAsia="黑体"/>
          <w:b/>
          <w:bCs/>
          <w:color w:val="auto"/>
          <w:sz w:val="24"/>
        </w:rPr>
      </w:pPr>
      <w:r>
        <w:rPr>
          <w:rFonts w:hint="eastAsia" w:ascii="黑体" w:hAnsi="黑体" w:eastAsia="黑体"/>
          <w:b/>
          <w:bCs/>
          <w:color w:val="auto"/>
          <w:sz w:val="24"/>
        </w:rPr>
        <w:t>签约日期：</w:t>
      </w:r>
    </w:p>
    <w:p>
      <w:pPr>
        <w:tabs>
          <w:tab w:val="left" w:pos="0"/>
        </w:tabs>
        <w:spacing w:line="360" w:lineRule="auto"/>
        <w:ind w:right="-153" w:rightChars="-73"/>
        <w:jc w:val="left"/>
        <w:rPr>
          <w:rFonts w:hint="eastAsia" w:ascii="黑体" w:hAnsi="黑体" w:eastAsia="黑体"/>
          <w:b/>
          <w:bCs/>
          <w:color w:val="auto"/>
          <w:sz w:val="24"/>
        </w:rPr>
      </w:pPr>
      <w:r>
        <w:rPr>
          <w:rFonts w:hint="eastAsia" w:ascii="黑体" w:hAnsi="黑体" w:eastAsia="黑体"/>
          <w:b/>
          <w:bCs/>
          <w:color w:val="auto"/>
          <w:sz w:val="24"/>
        </w:rPr>
        <w:t xml:space="preserve">乙 </w:t>
      </w:r>
      <w:r>
        <w:rPr>
          <w:rFonts w:ascii="黑体" w:hAnsi="黑体" w:eastAsia="黑体"/>
          <w:b/>
          <w:bCs/>
          <w:color w:val="auto"/>
          <w:sz w:val="24"/>
        </w:rPr>
        <w:t xml:space="preserve"> </w:t>
      </w:r>
      <w:r>
        <w:rPr>
          <w:rFonts w:hint="eastAsia" w:ascii="黑体" w:hAnsi="黑体" w:eastAsia="黑体"/>
          <w:b/>
          <w:bCs/>
          <w:color w:val="auto"/>
          <w:sz w:val="24"/>
        </w:rPr>
        <w:t>方：（盖章）</w:t>
      </w:r>
    </w:p>
    <w:p>
      <w:pPr>
        <w:tabs>
          <w:tab w:val="left" w:pos="0"/>
        </w:tabs>
        <w:spacing w:line="360" w:lineRule="auto"/>
        <w:ind w:left="1920" w:hanging="1920" w:hangingChars="800"/>
        <w:jc w:val="left"/>
        <w:rPr>
          <w:rFonts w:hint="eastAsia" w:ascii="仿宋" w:hAnsi="仿宋" w:eastAsia="仿宋"/>
          <w:bCs/>
          <w:color w:val="auto"/>
          <w:sz w:val="24"/>
          <w:szCs w:val="24"/>
          <w:lang w:val="en-US" w:eastAsia="zh-CN"/>
        </w:rPr>
      </w:pPr>
      <w:r>
        <w:rPr>
          <w:rFonts w:hint="eastAsia" w:ascii="仿宋" w:hAnsi="仿宋" w:eastAsia="仿宋"/>
          <w:bCs/>
          <w:color w:val="auto"/>
          <w:sz w:val="24"/>
          <w:szCs w:val="24"/>
          <w:lang w:val="en-US" w:eastAsia="zh-CN"/>
        </w:rPr>
        <w:t xml:space="preserve"> </w:t>
      </w:r>
    </w:p>
    <w:p>
      <w:pPr>
        <w:tabs>
          <w:tab w:val="left" w:pos="0"/>
        </w:tabs>
        <w:spacing w:line="360" w:lineRule="auto"/>
        <w:ind w:left="1920" w:hanging="1920" w:hangingChars="800"/>
        <w:jc w:val="left"/>
        <w:rPr>
          <w:rFonts w:hint="eastAsia" w:ascii="仿宋" w:hAnsi="仿宋" w:eastAsia="仿宋"/>
          <w:bCs/>
          <w:color w:val="auto"/>
          <w:sz w:val="24"/>
          <w:szCs w:val="24"/>
          <w:lang w:val="en-US" w:eastAsia="zh-CN"/>
        </w:rPr>
      </w:pPr>
    </w:p>
    <w:p>
      <w:pPr>
        <w:tabs>
          <w:tab w:val="left" w:pos="0"/>
        </w:tabs>
        <w:spacing w:line="360" w:lineRule="auto"/>
        <w:jc w:val="left"/>
        <w:rPr>
          <w:rFonts w:ascii="黑体" w:hAnsi="黑体" w:eastAsia="黑体"/>
          <w:b/>
          <w:bCs/>
          <w:color w:val="auto"/>
          <w:sz w:val="24"/>
        </w:rPr>
      </w:pPr>
      <w:r>
        <w:rPr>
          <w:rFonts w:hint="eastAsia" w:ascii="黑体" w:hAnsi="黑体" w:eastAsia="黑体"/>
          <w:b/>
          <w:bCs/>
          <w:color w:val="auto"/>
          <w:sz w:val="24"/>
        </w:rPr>
        <w:t>法定代表人：（签字或签章）</w:t>
      </w:r>
    </w:p>
    <w:p>
      <w:pPr>
        <w:tabs>
          <w:tab w:val="left" w:pos="0"/>
        </w:tabs>
        <w:spacing w:line="360" w:lineRule="auto"/>
        <w:jc w:val="left"/>
        <w:rPr>
          <w:rFonts w:ascii="仿宋" w:hAnsi="仿宋" w:eastAsia="仿宋"/>
          <w:color w:val="auto"/>
          <w:sz w:val="24"/>
        </w:rPr>
      </w:pPr>
    </w:p>
    <w:p>
      <w:pPr>
        <w:tabs>
          <w:tab w:val="left" w:pos="0"/>
        </w:tabs>
        <w:spacing w:line="360" w:lineRule="auto"/>
        <w:jc w:val="left"/>
        <w:rPr>
          <w:rFonts w:ascii="黑体" w:hAnsi="黑体" w:eastAsia="黑体"/>
          <w:b/>
          <w:bCs/>
          <w:color w:val="auto"/>
          <w:sz w:val="24"/>
        </w:rPr>
      </w:pPr>
      <w:r>
        <w:rPr>
          <w:rFonts w:hint="eastAsia" w:ascii="黑体" w:hAnsi="黑体" w:eastAsia="黑体"/>
          <w:b/>
          <w:bCs/>
          <w:color w:val="auto"/>
          <w:sz w:val="24"/>
        </w:rPr>
        <w:t>委托代理人：（签字）</w:t>
      </w:r>
    </w:p>
    <w:p>
      <w:pPr>
        <w:tabs>
          <w:tab w:val="left" w:pos="0"/>
        </w:tabs>
        <w:spacing w:line="360" w:lineRule="auto"/>
        <w:jc w:val="left"/>
        <w:rPr>
          <w:rFonts w:ascii="仿宋" w:hAnsi="仿宋" w:eastAsia="仿宋"/>
          <w:color w:val="auto"/>
          <w:sz w:val="24"/>
        </w:rPr>
      </w:pPr>
    </w:p>
    <w:p>
      <w:pPr>
        <w:tabs>
          <w:tab w:val="left" w:pos="0"/>
        </w:tabs>
        <w:spacing w:line="360" w:lineRule="auto"/>
        <w:jc w:val="left"/>
        <w:rPr>
          <w:rFonts w:ascii="黑体" w:hAnsi="黑体" w:eastAsia="黑体"/>
          <w:b/>
          <w:bCs/>
          <w:color w:val="auto"/>
          <w:sz w:val="24"/>
        </w:rPr>
      </w:pPr>
      <w:r>
        <w:rPr>
          <w:rFonts w:hint="eastAsia" w:ascii="黑体" w:hAnsi="黑体" w:eastAsia="黑体"/>
          <w:b/>
          <w:bCs/>
          <w:color w:val="auto"/>
          <w:sz w:val="24"/>
        </w:rPr>
        <w:t>通讯地址：</w:t>
      </w:r>
    </w:p>
    <w:p>
      <w:pPr>
        <w:tabs>
          <w:tab w:val="left" w:pos="0"/>
        </w:tabs>
        <w:spacing w:line="360" w:lineRule="auto"/>
        <w:ind w:right="-153" w:rightChars="-73"/>
        <w:jc w:val="left"/>
        <w:rPr>
          <w:rFonts w:hint="eastAsia" w:ascii="仿宋" w:hAnsi="仿宋" w:eastAsia="仿宋"/>
          <w:color w:val="auto"/>
          <w:sz w:val="24"/>
          <w:lang w:eastAsia="zh-CN"/>
        </w:rPr>
      </w:pPr>
    </w:p>
    <w:p>
      <w:pPr>
        <w:tabs>
          <w:tab w:val="left" w:pos="0"/>
        </w:tabs>
        <w:spacing w:line="360" w:lineRule="auto"/>
        <w:ind w:right="-153" w:rightChars="-73"/>
        <w:jc w:val="left"/>
        <w:rPr>
          <w:rFonts w:hint="eastAsia" w:ascii="仿宋" w:hAnsi="仿宋" w:eastAsia="仿宋"/>
          <w:color w:val="auto"/>
          <w:sz w:val="24"/>
          <w:lang w:eastAsia="zh-CN"/>
        </w:rPr>
      </w:pPr>
    </w:p>
    <w:p>
      <w:pPr>
        <w:tabs>
          <w:tab w:val="left" w:pos="0"/>
        </w:tabs>
        <w:spacing w:line="360" w:lineRule="auto"/>
        <w:ind w:right="-153" w:rightChars="-73"/>
        <w:jc w:val="left"/>
        <w:rPr>
          <w:rFonts w:hint="eastAsia" w:ascii="仿宋" w:hAnsi="仿宋" w:eastAsia="仿宋"/>
          <w:color w:val="auto"/>
          <w:sz w:val="24"/>
        </w:rPr>
      </w:pPr>
    </w:p>
    <w:p>
      <w:pPr>
        <w:tabs>
          <w:tab w:val="left" w:pos="0"/>
        </w:tabs>
        <w:spacing w:line="360" w:lineRule="auto"/>
        <w:ind w:right="-153" w:rightChars="-73"/>
        <w:jc w:val="left"/>
        <w:rPr>
          <w:rFonts w:hint="eastAsia" w:ascii="仿宋" w:hAnsi="仿宋" w:eastAsia="仿宋"/>
          <w:color w:val="auto"/>
          <w:sz w:val="24"/>
        </w:rPr>
      </w:pPr>
    </w:p>
    <w:p>
      <w:pPr>
        <w:tabs>
          <w:tab w:val="left" w:pos="0"/>
        </w:tabs>
        <w:spacing w:line="360" w:lineRule="auto"/>
        <w:jc w:val="left"/>
        <w:rPr>
          <w:rFonts w:ascii="黑体" w:hAnsi="黑体" w:eastAsia="黑体"/>
          <w:b/>
          <w:bCs/>
          <w:color w:val="auto"/>
          <w:sz w:val="24"/>
        </w:rPr>
      </w:pPr>
      <w:r>
        <w:rPr>
          <w:rFonts w:hint="eastAsia" w:ascii="黑体" w:hAnsi="黑体" w:eastAsia="黑体"/>
          <w:b/>
          <w:bCs/>
          <w:color w:val="auto"/>
          <w:sz w:val="24"/>
        </w:rPr>
        <w:t>开户银行：</w:t>
      </w:r>
    </w:p>
    <w:p>
      <w:pPr>
        <w:tabs>
          <w:tab w:val="left" w:pos="0"/>
        </w:tabs>
        <w:spacing w:line="360" w:lineRule="auto"/>
        <w:ind w:right="-153" w:rightChars="-73"/>
        <w:jc w:val="left"/>
        <w:rPr>
          <w:rFonts w:ascii="仿宋" w:hAnsi="仿宋" w:eastAsia="仿宋"/>
          <w:color w:val="auto"/>
          <w:sz w:val="24"/>
        </w:rPr>
      </w:pPr>
    </w:p>
    <w:p>
      <w:pPr>
        <w:tabs>
          <w:tab w:val="left" w:pos="0"/>
        </w:tabs>
        <w:spacing w:line="360" w:lineRule="auto"/>
        <w:ind w:right="-153" w:rightChars="-73"/>
        <w:jc w:val="left"/>
        <w:rPr>
          <w:rFonts w:ascii="黑体" w:hAnsi="黑体" w:eastAsia="黑体"/>
          <w:b/>
          <w:bCs/>
          <w:color w:val="auto"/>
          <w:sz w:val="24"/>
        </w:rPr>
      </w:pPr>
    </w:p>
    <w:p>
      <w:pPr>
        <w:tabs>
          <w:tab w:val="left" w:pos="0"/>
        </w:tabs>
        <w:spacing w:line="360" w:lineRule="auto"/>
        <w:ind w:right="-153" w:rightChars="-73"/>
        <w:jc w:val="left"/>
        <w:rPr>
          <w:rFonts w:ascii="仿宋" w:hAnsi="仿宋" w:eastAsia="仿宋"/>
          <w:color w:val="auto"/>
          <w:sz w:val="24"/>
        </w:rPr>
      </w:pPr>
      <w:r>
        <w:rPr>
          <w:rFonts w:hint="eastAsia" w:ascii="黑体" w:hAnsi="黑体" w:eastAsia="黑体"/>
          <w:b/>
          <w:bCs/>
          <w:color w:val="auto"/>
          <w:sz w:val="24"/>
        </w:rPr>
        <w:t>帐    号</w:t>
      </w:r>
      <w:r>
        <w:rPr>
          <w:rFonts w:hint="eastAsia" w:ascii="仿宋" w:hAnsi="仿宋" w:eastAsia="仿宋"/>
          <w:color w:val="auto"/>
          <w:sz w:val="24"/>
        </w:rPr>
        <w:t>：</w:t>
      </w:r>
    </w:p>
    <w:p>
      <w:pPr>
        <w:tabs>
          <w:tab w:val="left" w:pos="0"/>
        </w:tabs>
        <w:spacing w:line="360" w:lineRule="auto"/>
        <w:ind w:right="-153" w:rightChars="-73"/>
        <w:jc w:val="left"/>
        <w:rPr>
          <w:rFonts w:ascii="仿宋" w:hAnsi="仿宋" w:eastAsia="仿宋"/>
          <w:color w:val="auto"/>
          <w:sz w:val="24"/>
        </w:rPr>
      </w:pPr>
      <w:r>
        <w:rPr>
          <w:rFonts w:hint="eastAsia" w:ascii="黑体" w:hAnsi="黑体" w:eastAsia="黑体"/>
          <w:b/>
          <w:bCs/>
          <w:color w:val="auto"/>
          <w:sz w:val="24"/>
        </w:rPr>
        <w:t>邮政编码</w:t>
      </w:r>
      <w:r>
        <w:rPr>
          <w:rFonts w:hint="eastAsia" w:ascii="仿宋" w:hAnsi="仿宋" w:eastAsia="仿宋"/>
          <w:color w:val="auto"/>
          <w:sz w:val="24"/>
        </w:rPr>
        <w:t>：</w:t>
      </w:r>
    </w:p>
    <w:p>
      <w:pPr>
        <w:tabs>
          <w:tab w:val="left" w:pos="0"/>
        </w:tabs>
        <w:spacing w:line="360" w:lineRule="auto"/>
        <w:ind w:right="-153" w:rightChars="-73"/>
        <w:jc w:val="left"/>
        <w:rPr>
          <w:rFonts w:ascii="仿宋" w:hAnsi="仿宋" w:eastAsia="仿宋"/>
          <w:color w:val="auto"/>
          <w:sz w:val="24"/>
        </w:rPr>
      </w:pPr>
      <w:r>
        <w:rPr>
          <w:rFonts w:hint="eastAsia" w:ascii="黑体" w:hAnsi="黑体" w:eastAsia="黑体"/>
          <w:b/>
          <w:bCs/>
          <w:color w:val="auto"/>
          <w:sz w:val="24"/>
        </w:rPr>
        <w:t>电    话</w:t>
      </w:r>
      <w:r>
        <w:rPr>
          <w:rFonts w:hint="eastAsia" w:ascii="仿宋" w:hAnsi="仿宋" w:eastAsia="仿宋"/>
          <w:color w:val="auto"/>
          <w:sz w:val="24"/>
        </w:rPr>
        <w:t>：</w:t>
      </w:r>
    </w:p>
    <w:p>
      <w:pPr>
        <w:tabs>
          <w:tab w:val="left" w:pos="0"/>
        </w:tabs>
        <w:spacing w:line="360" w:lineRule="auto"/>
        <w:ind w:right="-153" w:rightChars="-73"/>
        <w:jc w:val="left"/>
        <w:rPr>
          <w:rFonts w:hint="eastAsia" w:ascii="仿宋" w:hAnsi="仿宋" w:eastAsia="仿宋"/>
          <w:color w:val="auto"/>
          <w:sz w:val="24"/>
        </w:rPr>
      </w:pPr>
      <w:r>
        <w:rPr>
          <w:rFonts w:hint="eastAsia" w:ascii="黑体" w:hAnsi="黑体" w:eastAsia="黑体"/>
          <w:b/>
          <w:bCs/>
          <w:color w:val="auto"/>
          <w:sz w:val="24"/>
        </w:rPr>
        <w:t>电子信箱</w:t>
      </w:r>
      <w:r>
        <w:rPr>
          <w:rFonts w:hint="eastAsia" w:ascii="仿宋" w:hAnsi="仿宋" w:eastAsia="仿宋"/>
          <w:color w:val="auto"/>
          <w:sz w:val="24"/>
        </w:rPr>
        <w:t>：</w:t>
      </w:r>
    </w:p>
    <w:p>
      <w:pPr>
        <w:tabs>
          <w:tab w:val="left" w:pos="0"/>
        </w:tabs>
        <w:spacing w:line="360" w:lineRule="auto"/>
        <w:ind w:right="-153" w:rightChars="-73"/>
        <w:jc w:val="left"/>
        <w:rPr>
          <w:rFonts w:hint="eastAsia" w:ascii="仿宋" w:hAnsi="仿宋" w:eastAsia="仿宋"/>
          <w:color w:val="auto"/>
          <w:sz w:val="24"/>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firstLine="0" w:firstLineChars="0"/>
        <w:textAlignment w:val="auto"/>
        <w:rPr>
          <w:rFonts w:hint="eastAsia" w:ascii="黑体" w:hAnsi="黑体" w:eastAsia="黑体"/>
          <w:b/>
          <w:bCs/>
          <w:color w:val="auto"/>
          <w:sz w:val="24"/>
        </w:rPr>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equalWidth="0" w:num="2">
            <w:col w:w="3940" w:space="425"/>
            <w:col w:w="3940"/>
          </w:cols>
          <w:docGrid w:type="lines" w:linePitch="312" w:charSpace="0"/>
        </w:sectPr>
      </w:pPr>
      <w:r>
        <w:rPr>
          <w:rFonts w:hint="eastAsia" w:ascii="黑体" w:hAnsi="黑体" w:eastAsia="黑体"/>
          <w:b/>
          <w:bCs/>
          <w:color w:val="auto"/>
          <w:sz w:val="24"/>
        </w:rPr>
        <w:t>签约日期：</w:t>
      </w:r>
    </w:p>
    <w:p>
      <w:pPr>
        <w:rPr>
          <w:rFonts w:hint="eastAsia" w:ascii="黑体" w:hAnsi="黑体" w:eastAsia="黑体"/>
          <w:b/>
          <w:bCs/>
          <w:color w:val="auto"/>
          <w:sz w:val="24"/>
          <w:lang w:val="en-US" w:eastAsia="zh-CN"/>
        </w:rPr>
      </w:pPr>
      <w:r>
        <w:rPr>
          <w:rFonts w:hint="eastAsia" w:ascii="黑体" w:hAnsi="黑体" w:eastAsia="黑体"/>
          <w:b/>
          <w:bCs/>
          <w:color w:val="auto"/>
          <w:sz w:val="24"/>
          <w:lang w:val="en-US" w:eastAsia="zh-CN"/>
        </w:rPr>
        <w:br w:type="page"/>
      </w:r>
    </w:p>
    <w:p>
      <w:pPr>
        <w:tabs>
          <w:tab w:val="left" w:pos="0"/>
        </w:tabs>
        <w:spacing w:line="360" w:lineRule="auto"/>
        <w:rPr>
          <w:rFonts w:ascii="黑体" w:hAnsi="黑体" w:eastAsia="黑体"/>
          <w:b/>
          <w:bCs/>
          <w:color w:val="auto"/>
          <w:sz w:val="28"/>
          <w:szCs w:val="24"/>
        </w:rPr>
      </w:pPr>
      <w:r>
        <w:rPr>
          <w:rFonts w:hint="eastAsia" w:ascii="黑体" w:hAnsi="黑体" w:eastAsia="黑体"/>
          <w:b/>
          <w:bCs/>
          <w:color w:val="auto"/>
          <w:sz w:val="28"/>
          <w:szCs w:val="24"/>
        </w:rPr>
        <w:t>审计业务约定书附件</w:t>
      </w:r>
    </w:p>
    <w:p>
      <w:pPr>
        <w:keepNext w:val="0"/>
        <w:keepLines w:val="0"/>
        <w:pageBreakBefore w:val="0"/>
        <w:widowControl w:val="0"/>
        <w:tabs>
          <w:tab w:val="left" w:pos="0"/>
        </w:tabs>
        <w:kinsoku/>
        <w:wordWrap/>
        <w:overflowPunct/>
        <w:topLinePunct w:val="0"/>
        <w:autoSpaceDE/>
        <w:autoSpaceDN/>
        <w:bidi w:val="0"/>
        <w:adjustRightInd/>
        <w:snapToGrid/>
        <w:spacing w:after="79" w:afterLines="25" w:line="360" w:lineRule="auto"/>
        <w:textAlignment w:val="auto"/>
        <w:rPr>
          <w:rFonts w:ascii="仿宋_GB2312" w:eastAsia="仿宋_GB2312"/>
          <w:b/>
          <w:bCs/>
          <w:color w:val="auto"/>
          <w:sz w:val="24"/>
          <w:szCs w:val="24"/>
        </w:rPr>
      </w:pPr>
      <w:r>
        <w:rPr>
          <w:rFonts w:hint="eastAsia" w:ascii="仿宋_GB2312" w:eastAsia="仿宋_GB2312"/>
          <w:b/>
          <w:bCs/>
          <w:color w:val="auto"/>
          <w:sz w:val="24"/>
          <w:szCs w:val="24"/>
        </w:rPr>
        <w:t>1、合并报表审计需单独出具报告</w:t>
      </w:r>
      <w:r>
        <w:rPr>
          <w:rFonts w:hint="eastAsia" w:ascii="仿宋_GB2312" w:eastAsia="仿宋_GB2312"/>
          <w:b/>
          <w:bCs/>
          <w:color w:val="auto"/>
          <w:sz w:val="24"/>
          <w:szCs w:val="24"/>
          <w:lang w:eastAsia="zh-CN"/>
        </w:rPr>
        <w:t>，</w:t>
      </w:r>
      <w:r>
        <w:rPr>
          <w:rFonts w:hint="eastAsia" w:ascii="仿宋_GB2312" w:eastAsia="仿宋_GB2312"/>
          <w:b/>
          <w:bCs/>
          <w:color w:val="auto"/>
          <w:sz w:val="24"/>
          <w:szCs w:val="24"/>
        </w:rPr>
        <w:t>收费含在主合同中的被审计单位名单</w:t>
      </w:r>
    </w:p>
    <w:tbl>
      <w:tblPr>
        <w:tblStyle w:val="6"/>
        <w:tblW w:w="8505" w:type="dxa"/>
        <w:jc w:val="center"/>
        <w:tblLayout w:type="fixed"/>
        <w:tblCellMar>
          <w:top w:w="0" w:type="dxa"/>
          <w:left w:w="108" w:type="dxa"/>
          <w:bottom w:w="0" w:type="dxa"/>
          <w:right w:w="108" w:type="dxa"/>
        </w:tblCellMar>
      </w:tblPr>
      <w:tblGrid>
        <w:gridCol w:w="673"/>
        <w:gridCol w:w="3893"/>
        <w:gridCol w:w="1701"/>
        <w:gridCol w:w="2238"/>
      </w:tblGrid>
      <w:tr>
        <w:tblPrEx>
          <w:tblCellMar>
            <w:top w:w="0" w:type="dxa"/>
            <w:left w:w="108" w:type="dxa"/>
            <w:bottom w:w="0" w:type="dxa"/>
            <w:right w:w="108" w:type="dxa"/>
          </w:tblCellMar>
        </w:tblPrEx>
        <w:trPr>
          <w:jc w:val="center"/>
        </w:trPr>
        <w:tc>
          <w:tcPr>
            <w:tcW w:w="673" w:type="dxa"/>
            <w:tcBorders>
              <w:top w:val="single" w:color="auto" w:sz="8" w:space="0"/>
              <w:left w:val="single" w:color="auto" w:sz="8" w:space="0"/>
              <w:bottom w:val="single" w:color="auto" w:sz="4" w:space="0"/>
              <w:right w:val="single" w:color="auto" w:sz="4" w:space="0"/>
            </w:tcBorders>
            <w:noWrap/>
            <w:vAlign w:val="center"/>
          </w:tcPr>
          <w:p>
            <w:pPr>
              <w:keepNext w:val="0"/>
              <w:keepLines w:val="0"/>
              <w:pageBreakBefore w:val="0"/>
              <w:widowControl w:val="0"/>
              <w:tabs>
                <w:tab w:val="left" w:pos="0"/>
              </w:tabs>
              <w:kinsoku/>
              <w:wordWrap/>
              <w:overflowPunct/>
              <w:topLinePunct w:val="0"/>
              <w:autoSpaceDE/>
              <w:autoSpaceDN/>
              <w:bidi w:val="0"/>
              <w:adjustRightInd/>
              <w:snapToGrid/>
              <w:spacing w:line="360" w:lineRule="auto"/>
              <w:ind w:left="-53" w:leftChars="-25" w:right="-53" w:rightChars="-25"/>
              <w:jc w:val="center"/>
              <w:textAlignment w:val="auto"/>
              <w:rPr>
                <w:rFonts w:ascii="仿宋" w:hAnsi="仿宋" w:eastAsia="仿宋"/>
                <w:color w:val="auto"/>
                <w:sz w:val="24"/>
                <w:szCs w:val="24"/>
              </w:rPr>
            </w:pPr>
            <w:r>
              <w:rPr>
                <w:rFonts w:hint="eastAsia" w:ascii="仿宋" w:hAnsi="仿宋" w:eastAsia="仿宋"/>
                <w:color w:val="auto"/>
                <w:sz w:val="24"/>
                <w:szCs w:val="24"/>
              </w:rPr>
              <w:t>序号</w:t>
            </w:r>
          </w:p>
        </w:tc>
        <w:tc>
          <w:tcPr>
            <w:tcW w:w="3893" w:type="dxa"/>
            <w:tcBorders>
              <w:top w:val="single" w:color="auto" w:sz="8"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单位名称</w:t>
            </w:r>
          </w:p>
        </w:tc>
        <w:tc>
          <w:tcPr>
            <w:tcW w:w="1701" w:type="dxa"/>
            <w:tcBorders>
              <w:top w:val="single" w:color="auto" w:sz="8"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关联关系</w:t>
            </w:r>
          </w:p>
        </w:tc>
        <w:tc>
          <w:tcPr>
            <w:tcW w:w="2238" w:type="dxa"/>
            <w:tcBorders>
              <w:top w:val="single" w:color="auto" w:sz="8"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备注</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1</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hint="eastAsia" w:ascii="仿宋" w:hAnsi="仿宋" w:eastAsia="仿宋"/>
                <w:color w:val="auto"/>
                <w:sz w:val="24"/>
                <w:szCs w:val="24"/>
              </w:rPr>
            </w:pPr>
            <w:r>
              <w:rPr>
                <w:rFonts w:hint="eastAsia" w:ascii="仿宋" w:hAnsi="仿宋" w:eastAsia="仿宋"/>
                <w:color w:val="auto"/>
                <w:sz w:val="24"/>
                <w:szCs w:val="24"/>
              </w:rPr>
              <w:t>广西孔雀湾投资开发有限公司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合并财务报表审计报告（中文版）</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2</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ascii="仿宋" w:hAnsi="仿宋" w:eastAsia="仿宋"/>
                <w:color w:val="auto"/>
                <w:sz w:val="24"/>
                <w:szCs w:val="24"/>
              </w:rPr>
            </w:pPr>
            <w:r>
              <w:rPr>
                <w:rFonts w:hint="eastAsia" w:ascii="仿宋" w:hAnsi="仿宋" w:eastAsia="仿宋"/>
                <w:color w:val="auto"/>
                <w:sz w:val="24"/>
                <w:szCs w:val="24"/>
              </w:rPr>
              <w:t>广西钦州孔雀湾物业服务有限公司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财务报表审计报告（中文版）</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3</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ascii="仿宋" w:hAnsi="仿宋" w:eastAsia="仿宋"/>
                <w:color w:val="auto"/>
                <w:sz w:val="24"/>
                <w:szCs w:val="24"/>
              </w:rPr>
            </w:pPr>
            <w:r>
              <w:rPr>
                <w:rFonts w:hint="eastAsia" w:ascii="仿宋" w:hAnsi="仿宋" w:eastAsia="仿宋"/>
                <w:color w:val="auto"/>
                <w:sz w:val="24"/>
                <w:szCs w:val="24"/>
              </w:rPr>
              <w:t>广西中马钦州产业园区孔雀湾混凝土有限公司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财务报表审计报告（中文版）</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4</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ascii="仿宋" w:hAnsi="仿宋" w:eastAsia="仿宋"/>
                <w:color w:val="auto"/>
                <w:sz w:val="24"/>
                <w:szCs w:val="24"/>
              </w:rPr>
            </w:pPr>
            <w:r>
              <w:rPr>
                <w:rFonts w:hint="eastAsia" w:ascii="仿宋" w:hAnsi="仿宋" w:eastAsia="仿宋"/>
                <w:color w:val="auto"/>
                <w:sz w:val="24"/>
                <w:szCs w:val="24"/>
              </w:rPr>
              <w:t>广西中马孔雀湾石油有限公司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财务报表审计报告（中文版）</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5</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ascii="仿宋" w:hAnsi="仿宋" w:eastAsia="仿宋"/>
                <w:color w:val="auto"/>
                <w:sz w:val="24"/>
                <w:szCs w:val="24"/>
              </w:rPr>
            </w:pPr>
            <w:r>
              <w:rPr>
                <w:rFonts w:hint="eastAsia" w:ascii="仿宋" w:hAnsi="仿宋" w:eastAsia="仿宋"/>
                <w:color w:val="auto"/>
                <w:sz w:val="24"/>
                <w:szCs w:val="24"/>
              </w:rPr>
              <w:t>广西孔雀湾建设工程有限公司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财务报表审计报告（中文版）</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6</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ascii="仿宋" w:hAnsi="仿宋" w:eastAsia="仿宋"/>
                <w:color w:val="auto"/>
                <w:sz w:val="24"/>
                <w:szCs w:val="24"/>
              </w:rPr>
            </w:pPr>
            <w:r>
              <w:rPr>
                <w:rFonts w:hint="eastAsia" w:ascii="仿宋" w:hAnsi="仿宋" w:eastAsia="仿宋"/>
                <w:color w:val="auto"/>
                <w:sz w:val="24"/>
                <w:szCs w:val="24"/>
              </w:rPr>
              <w:t>广西中马钦丹产业服务有限公司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财务报表审计报告（中文版）</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7</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ascii="仿宋" w:hAnsi="仿宋" w:eastAsia="仿宋"/>
                <w:color w:val="auto"/>
                <w:sz w:val="24"/>
                <w:szCs w:val="24"/>
              </w:rPr>
            </w:pPr>
            <w:r>
              <w:rPr>
                <w:rFonts w:hint="eastAsia" w:ascii="仿宋" w:hAnsi="仿宋" w:eastAsia="仿宋"/>
                <w:color w:val="auto"/>
                <w:sz w:val="24"/>
                <w:szCs w:val="24"/>
              </w:rPr>
              <w:t>广西自贸区新奥燃气发展有限公司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财务报表审计报告（中文版）</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8</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ascii="仿宋" w:hAnsi="仿宋" w:eastAsia="仿宋"/>
                <w:color w:val="auto"/>
                <w:sz w:val="24"/>
                <w:szCs w:val="24"/>
              </w:rPr>
            </w:pPr>
            <w:r>
              <w:rPr>
                <w:rFonts w:hint="eastAsia" w:ascii="仿宋" w:hAnsi="仿宋" w:eastAsia="仿宋"/>
                <w:color w:val="auto"/>
                <w:sz w:val="24"/>
                <w:szCs w:val="24"/>
              </w:rPr>
              <w:t>广西孔雀湾友谊投资开发有限公司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财务报表审计报告（中文版）</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9</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ascii="仿宋" w:hAnsi="仿宋" w:eastAsia="仿宋"/>
                <w:color w:val="auto"/>
                <w:sz w:val="24"/>
                <w:szCs w:val="24"/>
              </w:rPr>
            </w:pPr>
            <w:r>
              <w:rPr>
                <w:rFonts w:hint="eastAsia" w:ascii="仿宋" w:hAnsi="仿宋" w:eastAsia="仿宋"/>
                <w:color w:val="auto"/>
                <w:sz w:val="24"/>
                <w:szCs w:val="24"/>
              </w:rPr>
              <w:t>广西孔雀湾锦绣投资开发有限公司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财务报表审计报告（中文版）</w:t>
            </w:r>
          </w:p>
        </w:tc>
      </w:tr>
      <w:tr>
        <w:tblPrEx>
          <w:tblCellMar>
            <w:top w:w="0" w:type="dxa"/>
            <w:left w:w="108" w:type="dxa"/>
            <w:bottom w:w="0" w:type="dxa"/>
            <w:right w:w="108" w:type="dxa"/>
          </w:tblCellMar>
        </w:tblPrEx>
        <w:trPr>
          <w:jc w:val="center"/>
        </w:trPr>
        <w:tc>
          <w:tcPr>
            <w:tcW w:w="673" w:type="dxa"/>
            <w:tcBorders>
              <w:top w:val="single" w:color="auto" w:sz="4" w:space="0"/>
              <w:left w:val="single" w:color="auto" w:sz="8" w:space="0"/>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10</w:t>
            </w:r>
          </w:p>
        </w:tc>
        <w:tc>
          <w:tcPr>
            <w:tcW w:w="3893"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left"/>
              <w:rPr>
                <w:rFonts w:ascii="仿宋" w:hAnsi="仿宋" w:eastAsia="仿宋"/>
                <w:color w:val="auto"/>
                <w:sz w:val="24"/>
                <w:szCs w:val="24"/>
              </w:rPr>
            </w:pPr>
            <w:r>
              <w:rPr>
                <w:rFonts w:hint="eastAsia" w:ascii="仿宋" w:hAnsi="仿宋" w:eastAsia="仿宋"/>
                <w:color w:val="auto"/>
                <w:sz w:val="24"/>
                <w:szCs w:val="24"/>
              </w:rPr>
              <w:t>广西自贸区中马佳净投资开发有限公司</w:t>
            </w:r>
          </w:p>
        </w:tc>
        <w:tc>
          <w:tcPr>
            <w:tcW w:w="1701" w:type="dxa"/>
            <w:tcBorders>
              <w:top w:val="single" w:color="auto" w:sz="4" w:space="0"/>
              <w:left w:val="nil"/>
              <w:bottom w:val="single" w:color="auto" w:sz="4" w:space="0"/>
              <w:right w:val="single" w:color="auto" w:sz="4"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控股子公司</w:t>
            </w:r>
          </w:p>
        </w:tc>
        <w:tc>
          <w:tcPr>
            <w:tcW w:w="2238" w:type="dxa"/>
            <w:tcBorders>
              <w:top w:val="single" w:color="auto" w:sz="4" w:space="0"/>
              <w:left w:val="nil"/>
              <w:bottom w:val="single" w:color="auto" w:sz="4" w:space="0"/>
              <w:right w:val="single" w:color="auto" w:sz="8" w:space="0"/>
            </w:tcBorders>
            <w:noWrap/>
            <w:vAlign w:val="center"/>
          </w:tcPr>
          <w:p>
            <w:pPr>
              <w:tabs>
                <w:tab w:val="left" w:pos="0"/>
              </w:tabs>
              <w:spacing w:line="360" w:lineRule="auto"/>
              <w:jc w:val="center"/>
              <w:rPr>
                <w:rFonts w:ascii="仿宋" w:hAnsi="仿宋" w:eastAsia="仿宋"/>
                <w:color w:val="auto"/>
                <w:sz w:val="24"/>
                <w:szCs w:val="24"/>
              </w:rPr>
            </w:pPr>
            <w:r>
              <w:rPr>
                <w:rFonts w:hint="eastAsia" w:ascii="仿宋" w:hAnsi="仿宋" w:eastAsia="仿宋"/>
                <w:color w:val="auto"/>
                <w:sz w:val="24"/>
                <w:szCs w:val="24"/>
              </w:rPr>
              <w:t>财务报表审计报告（中文版）</w:t>
            </w:r>
          </w:p>
        </w:tc>
      </w:tr>
    </w:tbl>
    <w:p>
      <w:pPr>
        <w:keepNext w:val="0"/>
        <w:keepLines w:val="0"/>
        <w:pageBreakBefore w:val="0"/>
        <w:widowControl w:val="0"/>
        <w:tabs>
          <w:tab w:val="left" w:pos="0"/>
        </w:tabs>
        <w:kinsoku/>
        <w:wordWrap/>
        <w:overflowPunct/>
        <w:topLinePunct w:val="0"/>
        <w:autoSpaceDE/>
        <w:autoSpaceDN/>
        <w:bidi w:val="0"/>
        <w:adjustRightInd/>
        <w:snapToGrid/>
        <w:spacing w:before="79" w:beforeLines="25" w:line="360" w:lineRule="auto"/>
        <w:textAlignment w:val="auto"/>
        <w:rPr>
          <w:rFonts w:ascii="仿宋_GB2312" w:eastAsia="仿宋_GB2312"/>
          <w:color w:val="auto"/>
          <w:sz w:val="24"/>
          <w:szCs w:val="24"/>
        </w:rPr>
      </w:pPr>
      <w:r>
        <w:rPr>
          <w:rFonts w:hint="eastAsia" w:ascii="仿宋_GB2312" w:eastAsia="仿宋_GB2312"/>
          <w:color w:val="auto"/>
          <w:sz w:val="24"/>
          <w:szCs w:val="24"/>
        </w:rPr>
        <w:t>注：“关联关系”栏填列与集团母公司的关系如控股子公司、合营企业、联营企业等</w:t>
      </w:r>
    </w:p>
    <w:p>
      <w:pPr>
        <w:keepNext w:val="0"/>
        <w:keepLines w:val="0"/>
        <w:pageBreakBefore/>
        <w:widowControl w:val="0"/>
        <w:tabs>
          <w:tab w:val="left" w:pos="0"/>
        </w:tabs>
        <w:kinsoku/>
        <w:wordWrap/>
        <w:overflowPunct/>
        <w:topLinePunct w:val="0"/>
        <w:autoSpaceDE/>
        <w:autoSpaceDN/>
        <w:bidi w:val="0"/>
        <w:adjustRightInd/>
        <w:snapToGrid/>
        <w:spacing w:after="79" w:afterLines="25" w:line="360" w:lineRule="auto"/>
        <w:textAlignment w:val="auto"/>
        <w:rPr>
          <w:rFonts w:ascii="仿宋_GB2312" w:eastAsia="仿宋_GB2312"/>
          <w:b/>
          <w:bCs/>
          <w:color w:val="auto"/>
          <w:sz w:val="24"/>
          <w:szCs w:val="24"/>
        </w:rPr>
      </w:pPr>
      <w:r>
        <w:rPr>
          <w:rFonts w:ascii="仿宋_GB2312" w:eastAsia="仿宋_GB2312"/>
          <w:b/>
          <w:bCs/>
          <w:color w:val="auto"/>
          <w:sz w:val="24"/>
          <w:szCs w:val="24"/>
        </w:rPr>
        <w:t>2</w:t>
      </w:r>
      <w:r>
        <w:rPr>
          <w:rFonts w:hint="eastAsia" w:ascii="仿宋_GB2312" w:eastAsia="仿宋_GB2312"/>
          <w:b/>
          <w:bCs/>
          <w:color w:val="auto"/>
          <w:sz w:val="24"/>
          <w:szCs w:val="24"/>
        </w:rPr>
        <w:t>、本次审计费用清单</w:t>
      </w:r>
    </w:p>
    <w:tbl>
      <w:tblPr>
        <w:tblStyle w:val="6"/>
        <w:tblW w:w="9498" w:type="dxa"/>
        <w:tblInd w:w="-176" w:type="dxa"/>
        <w:tblLayout w:type="fixed"/>
        <w:tblCellMar>
          <w:top w:w="0" w:type="dxa"/>
          <w:left w:w="108" w:type="dxa"/>
          <w:bottom w:w="0" w:type="dxa"/>
          <w:right w:w="108" w:type="dxa"/>
        </w:tblCellMar>
      </w:tblPr>
      <w:tblGrid>
        <w:gridCol w:w="710"/>
        <w:gridCol w:w="3557"/>
        <w:gridCol w:w="2113"/>
        <w:gridCol w:w="1559"/>
        <w:gridCol w:w="1559"/>
      </w:tblGrid>
      <w:tr>
        <w:tblPrEx>
          <w:tblCellMar>
            <w:top w:w="0" w:type="dxa"/>
            <w:left w:w="108" w:type="dxa"/>
            <w:bottom w:w="0" w:type="dxa"/>
            <w:right w:w="108" w:type="dxa"/>
          </w:tblCellMar>
        </w:tblPrEx>
        <w:trPr>
          <w:trHeight w:val="1110"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color w:val="auto"/>
                <w:sz w:val="24"/>
                <w:szCs w:val="24"/>
              </w:rPr>
            </w:pPr>
            <w:r>
              <w:rPr>
                <w:rFonts w:hint="eastAsia" w:ascii="仿宋" w:hAnsi="仿宋" w:eastAsia="仿宋"/>
                <w:b/>
                <w:color w:val="auto"/>
                <w:sz w:val="24"/>
                <w:szCs w:val="24"/>
              </w:rPr>
              <w:t>序号</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color w:val="auto"/>
                <w:sz w:val="24"/>
                <w:szCs w:val="24"/>
              </w:rPr>
            </w:pPr>
            <w:r>
              <w:rPr>
                <w:rFonts w:hint="eastAsia" w:ascii="仿宋" w:hAnsi="仿宋" w:eastAsia="仿宋"/>
                <w:b/>
                <w:color w:val="auto"/>
                <w:sz w:val="24"/>
                <w:szCs w:val="24"/>
              </w:rPr>
              <w:t>单位名称</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b/>
                <w:color w:val="auto"/>
                <w:sz w:val="24"/>
                <w:szCs w:val="24"/>
              </w:rPr>
            </w:pPr>
            <w:r>
              <w:rPr>
                <w:rFonts w:hint="eastAsia" w:ascii="仿宋" w:hAnsi="仿宋" w:eastAsia="仿宋"/>
                <w:b/>
                <w:color w:val="auto"/>
                <w:sz w:val="24"/>
                <w:szCs w:val="24"/>
              </w:rPr>
              <w:t>审计费</w:t>
            </w:r>
            <w:r>
              <w:rPr>
                <w:rFonts w:ascii="仿宋" w:hAnsi="仿宋" w:eastAsia="仿宋"/>
                <w:b/>
                <w:color w:val="auto"/>
                <w:sz w:val="24"/>
                <w:szCs w:val="24"/>
              </w:rPr>
              <w:t>金额</w:t>
            </w:r>
          </w:p>
          <w:p>
            <w:pPr>
              <w:spacing w:line="440" w:lineRule="exact"/>
              <w:jc w:val="center"/>
              <w:rPr>
                <w:rFonts w:hint="eastAsia" w:ascii="仿宋" w:hAnsi="仿宋" w:eastAsia="仿宋"/>
                <w:b/>
                <w:color w:val="auto"/>
                <w:sz w:val="24"/>
                <w:szCs w:val="24"/>
              </w:rPr>
            </w:pPr>
            <w:r>
              <w:rPr>
                <w:rFonts w:hint="eastAsia" w:ascii="仿宋" w:hAnsi="仿宋" w:eastAsia="仿宋"/>
                <w:b/>
                <w:color w:val="auto"/>
                <w:sz w:val="24"/>
                <w:szCs w:val="24"/>
              </w:rPr>
              <w:t>（万元）</w:t>
            </w:r>
          </w:p>
        </w:tc>
        <w:tc>
          <w:tcPr>
            <w:tcW w:w="1559" w:type="dxa"/>
            <w:tcBorders>
              <w:top w:val="single" w:color="auto" w:sz="4" w:space="0"/>
              <w:left w:val="nil"/>
              <w:bottom w:val="single" w:color="auto" w:sz="4" w:space="0"/>
              <w:right w:val="single" w:color="auto" w:sz="4" w:space="0"/>
            </w:tcBorders>
            <w:noWrap w:val="0"/>
            <w:vAlign w:val="top"/>
          </w:tcPr>
          <w:p>
            <w:pPr>
              <w:spacing w:line="440" w:lineRule="exact"/>
              <w:jc w:val="center"/>
              <w:rPr>
                <w:rFonts w:hint="eastAsia" w:ascii="仿宋" w:hAnsi="仿宋" w:eastAsia="仿宋"/>
                <w:b/>
                <w:color w:val="auto"/>
                <w:sz w:val="24"/>
                <w:szCs w:val="24"/>
              </w:rPr>
            </w:pPr>
            <w:r>
              <w:rPr>
                <w:rFonts w:hint="eastAsia" w:ascii="仿宋" w:hAnsi="仿宋" w:eastAsia="仿宋"/>
                <w:b/>
                <w:color w:val="auto"/>
                <w:sz w:val="24"/>
                <w:szCs w:val="24"/>
              </w:rPr>
              <w:t>第一期支付金额（万元）</w:t>
            </w:r>
          </w:p>
        </w:tc>
        <w:tc>
          <w:tcPr>
            <w:tcW w:w="1559" w:type="dxa"/>
            <w:tcBorders>
              <w:top w:val="single" w:color="auto" w:sz="4" w:space="0"/>
              <w:left w:val="nil"/>
              <w:bottom w:val="single" w:color="auto" w:sz="4" w:space="0"/>
              <w:right w:val="single" w:color="auto" w:sz="4" w:space="0"/>
            </w:tcBorders>
            <w:noWrap w:val="0"/>
            <w:vAlign w:val="top"/>
          </w:tcPr>
          <w:p>
            <w:pPr>
              <w:spacing w:line="440" w:lineRule="exact"/>
              <w:jc w:val="center"/>
              <w:rPr>
                <w:rFonts w:hint="eastAsia" w:ascii="仿宋" w:hAnsi="仿宋" w:eastAsia="仿宋"/>
                <w:b/>
                <w:color w:val="auto"/>
                <w:sz w:val="24"/>
                <w:szCs w:val="24"/>
              </w:rPr>
            </w:pPr>
            <w:r>
              <w:rPr>
                <w:rFonts w:hint="eastAsia" w:ascii="仿宋" w:hAnsi="仿宋" w:eastAsia="仿宋"/>
                <w:b/>
                <w:color w:val="auto"/>
                <w:sz w:val="24"/>
                <w:szCs w:val="24"/>
              </w:rPr>
              <w:t>第二期支付金额（万元）</w:t>
            </w:r>
          </w:p>
        </w:tc>
      </w:tr>
      <w:tr>
        <w:tblPrEx>
          <w:tblCellMar>
            <w:top w:w="0" w:type="dxa"/>
            <w:left w:w="108" w:type="dxa"/>
            <w:bottom w:w="0" w:type="dxa"/>
            <w:right w:w="108" w:type="dxa"/>
          </w:tblCellMar>
        </w:tblPrEx>
        <w:trPr>
          <w:trHeight w:val="893" w:hRule="atLeast"/>
          <w:tblHeader/>
        </w:trPr>
        <w:tc>
          <w:tcPr>
            <w:tcW w:w="710" w:type="dxa"/>
            <w:tcBorders>
              <w:top w:val="single" w:color="auto" w:sz="4" w:space="0"/>
              <w:left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1</w:t>
            </w:r>
          </w:p>
        </w:tc>
        <w:tc>
          <w:tcPr>
            <w:tcW w:w="3557" w:type="dxa"/>
            <w:tcBorders>
              <w:top w:val="single" w:color="auto" w:sz="4" w:space="0"/>
              <w:left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w:t>
            </w:r>
            <w:r>
              <w:rPr>
                <w:rFonts w:ascii="仿宋" w:hAnsi="仿宋" w:eastAsia="仿宋"/>
                <w:color w:val="auto"/>
                <w:sz w:val="24"/>
                <w:szCs w:val="24"/>
              </w:rPr>
              <w:t>中</w:t>
            </w:r>
            <w:r>
              <w:rPr>
                <w:rFonts w:hint="eastAsia" w:ascii="仿宋" w:hAnsi="仿宋" w:eastAsia="仿宋"/>
                <w:color w:val="auto"/>
                <w:sz w:val="24"/>
                <w:szCs w:val="24"/>
              </w:rPr>
              <w:t>马</w:t>
            </w:r>
            <w:r>
              <w:rPr>
                <w:rFonts w:ascii="仿宋" w:hAnsi="仿宋" w:eastAsia="仿宋"/>
                <w:color w:val="auto"/>
                <w:sz w:val="24"/>
                <w:szCs w:val="24"/>
              </w:rPr>
              <w:t>钦州产业园区开发有限公司</w:t>
            </w:r>
          </w:p>
        </w:tc>
        <w:tc>
          <w:tcPr>
            <w:tcW w:w="2113" w:type="dxa"/>
            <w:tcBorders>
              <w:top w:val="single" w:color="auto" w:sz="4" w:space="0"/>
              <w:left w:val="nil"/>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71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2</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w:t>
            </w:r>
            <w:r>
              <w:rPr>
                <w:rFonts w:ascii="仿宋" w:hAnsi="仿宋" w:eastAsia="仿宋"/>
                <w:color w:val="auto"/>
                <w:sz w:val="24"/>
                <w:szCs w:val="24"/>
              </w:rPr>
              <w:t>孔雀湾投资开发有限公司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89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3</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广西钦州孔雀湾物业服务有限公司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89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4</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w:t>
            </w:r>
            <w:r>
              <w:rPr>
                <w:rFonts w:ascii="仿宋" w:hAnsi="仿宋" w:eastAsia="仿宋"/>
                <w:color w:val="auto"/>
                <w:sz w:val="24"/>
                <w:szCs w:val="24"/>
              </w:rPr>
              <w:t>中马钦州产业园区孔雀湾混凝土有限公司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65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5</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w:t>
            </w:r>
            <w:r>
              <w:rPr>
                <w:rFonts w:ascii="仿宋" w:hAnsi="仿宋" w:eastAsia="仿宋"/>
                <w:color w:val="auto"/>
                <w:sz w:val="24"/>
                <w:szCs w:val="24"/>
              </w:rPr>
              <w:t>中马孔雀湾石油有限公司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64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6</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highlight w:val="none"/>
              </w:rPr>
              <w:t>广西孔雀湾建设工程有限公司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74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7</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w:t>
            </w:r>
            <w:r>
              <w:rPr>
                <w:rFonts w:ascii="仿宋" w:hAnsi="仿宋" w:eastAsia="仿宋"/>
                <w:color w:val="auto"/>
                <w:sz w:val="24"/>
                <w:szCs w:val="24"/>
              </w:rPr>
              <w:t>中马钦</w:t>
            </w:r>
            <w:r>
              <w:rPr>
                <w:rFonts w:hint="eastAsia" w:ascii="仿宋" w:hAnsi="仿宋" w:eastAsia="仿宋"/>
                <w:color w:val="auto"/>
                <w:sz w:val="24"/>
                <w:szCs w:val="24"/>
              </w:rPr>
              <w:t>丹</w:t>
            </w:r>
            <w:r>
              <w:rPr>
                <w:rFonts w:ascii="仿宋" w:hAnsi="仿宋" w:eastAsia="仿宋"/>
                <w:color w:val="auto"/>
                <w:sz w:val="24"/>
                <w:szCs w:val="24"/>
              </w:rPr>
              <w:t>产业服务有限公司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89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8</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广西自贸区新奥燃气发展有限公司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89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9</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w:t>
            </w:r>
            <w:r>
              <w:rPr>
                <w:rFonts w:ascii="仿宋" w:hAnsi="仿宋" w:eastAsia="仿宋"/>
                <w:color w:val="auto"/>
                <w:sz w:val="24"/>
                <w:szCs w:val="24"/>
              </w:rPr>
              <w:t>孔雀湾友谊投资开发有限公司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89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10</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w:t>
            </w:r>
            <w:r>
              <w:rPr>
                <w:rFonts w:ascii="仿宋" w:hAnsi="仿宋" w:eastAsia="仿宋"/>
                <w:color w:val="auto"/>
                <w:sz w:val="24"/>
                <w:szCs w:val="24"/>
              </w:rPr>
              <w:t>孔雀湾锦绣投资开发有限公司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893" w:hRule="atLeast"/>
          <w:tblHeader/>
        </w:trPr>
        <w:tc>
          <w:tcPr>
            <w:tcW w:w="710"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r>
              <w:rPr>
                <w:rFonts w:hint="eastAsia" w:ascii="仿宋" w:hAnsi="仿宋" w:eastAsia="仿宋"/>
                <w:color w:val="auto"/>
                <w:sz w:val="24"/>
                <w:szCs w:val="24"/>
              </w:rPr>
              <w:t>11</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hint="eastAsia" w:ascii="仿宋" w:hAnsi="仿宋" w:eastAsia="仿宋"/>
                <w:color w:val="auto"/>
                <w:sz w:val="24"/>
                <w:szCs w:val="24"/>
              </w:rPr>
            </w:pPr>
            <w:r>
              <w:rPr>
                <w:rFonts w:hint="eastAsia" w:ascii="仿宋" w:hAnsi="仿宋" w:eastAsia="仿宋"/>
                <w:color w:val="auto"/>
                <w:sz w:val="24"/>
                <w:szCs w:val="24"/>
              </w:rPr>
              <w:t>广西</w:t>
            </w:r>
            <w:r>
              <w:rPr>
                <w:rFonts w:ascii="仿宋" w:hAnsi="仿宋" w:eastAsia="仿宋"/>
                <w:color w:val="auto"/>
                <w:sz w:val="24"/>
                <w:szCs w:val="24"/>
              </w:rPr>
              <w:t>自贸区中马佳</w:t>
            </w:r>
            <w:r>
              <w:rPr>
                <w:rFonts w:hint="eastAsia" w:ascii="仿宋" w:hAnsi="仿宋" w:eastAsia="仿宋"/>
                <w:color w:val="auto"/>
                <w:sz w:val="24"/>
                <w:szCs w:val="24"/>
              </w:rPr>
              <w:t>净</w:t>
            </w:r>
            <w:r>
              <w:rPr>
                <w:rFonts w:ascii="仿宋" w:hAnsi="仿宋" w:eastAsia="仿宋"/>
                <w:color w:val="auto"/>
                <w:sz w:val="24"/>
                <w:szCs w:val="24"/>
              </w:rPr>
              <w:t>投资开发有限公司</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color w:val="auto"/>
                <w:sz w:val="24"/>
                <w:szCs w:val="24"/>
              </w:rPr>
            </w:pPr>
          </w:p>
        </w:tc>
      </w:tr>
      <w:tr>
        <w:tblPrEx>
          <w:tblCellMar>
            <w:top w:w="0" w:type="dxa"/>
            <w:left w:w="108" w:type="dxa"/>
            <w:bottom w:w="0" w:type="dxa"/>
            <w:right w:w="108" w:type="dxa"/>
          </w:tblCellMar>
        </w:tblPrEx>
        <w:trPr>
          <w:trHeight w:val="893" w:hRule="atLeast"/>
          <w:tblHeader/>
        </w:trPr>
        <w:tc>
          <w:tcPr>
            <w:tcW w:w="4267" w:type="dxa"/>
            <w:gridSpan w:val="2"/>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hint="eastAsia" w:ascii="仿宋" w:hAnsi="仿宋" w:eastAsia="仿宋"/>
                <w:b/>
                <w:bCs/>
                <w:color w:val="auto"/>
                <w:sz w:val="24"/>
                <w:szCs w:val="24"/>
              </w:rPr>
            </w:pPr>
            <w:r>
              <w:rPr>
                <w:rFonts w:hint="eastAsia" w:ascii="仿宋" w:hAnsi="仿宋" w:eastAsia="仿宋"/>
                <w:b/>
                <w:bCs/>
                <w:color w:val="auto"/>
                <w:sz w:val="24"/>
                <w:szCs w:val="24"/>
              </w:rPr>
              <w:t>合计</w:t>
            </w:r>
          </w:p>
        </w:tc>
        <w:tc>
          <w:tcPr>
            <w:tcW w:w="2113"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hint="eastAsia" w:ascii="仿宋" w:hAnsi="仿宋" w:eastAsia="仿宋"/>
                <w:b/>
                <w:bCs/>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b/>
                <w:bCs/>
                <w:color w:val="auto"/>
                <w:sz w:val="24"/>
                <w:szCs w:val="24"/>
              </w:rPr>
            </w:pPr>
          </w:p>
        </w:tc>
        <w:tc>
          <w:tcPr>
            <w:tcW w:w="1559" w:type="dxa"/>
            <w:tcBorders>
              <w:top w:val="single" w:color="auto" w:sz="4" w:space="0"/>
              <w:left w:val="nil"/>
              <w:bottom w:val="single" w:color="auto" w:sz="4" w:space="0"/>
              <w:right w:val="single" w:color="auto" w:sz="4" w:space="0"/>
            </w:tcBorders>
            <w:noWrap w:val="0"/>
            <w:vAlign w:val="center"/>
          </w:tcPr>
          <w:p>
            <w:pPr>
              <w:spacing w:line="440" w:lineRule="exact"/>
              <w:jc w:val="center"/>
              <w:rPr>
                <w:rFonts w:ascii="仿宋" w:hAnsi="仿宋" w:eastAsia="仿宋"/>
                <w:b/>
                <w:bCs/>
                <w:color w:val="auto"/>
                <w:sz w:val="24"/>
                <w:szCs w:val="24"/>
              </w:rPr>
            </w:pPr>
          </w:p>
        </w:tc>
      </w:tr>
    </w:tbl>
    <w:p>
      <w:pPr>
        <w:keepNext w:val="0"/>
        <w:keepLines w:val="0"/>
        <w:pageBreakBefore/>
        <w:widowControl w:val="0"/>
        <w:tabs>
          <w:tab w:val="left" w:pos="0"/>
        </w:tabs>
        <w:kinsoku/>
        <w:wordWrap/>
        <w:overflowPunct/>
        <w:topLinePunct w:val="0"/>
        <w:autoSpaceDE/>
        <w:autoSpaceDN/>
        <w:bidi w:val="0"/>
        <w:adjustRightInd/>
        <w:snapToGrid/>
        <w:spacing w:after="79" w:afterLines="25" w:line="360" w:lineRule="auto"/>
        <w:textAlignment w:val="auto"/>
        <w:rPr>
          <w:rFonts w:ascii="仿宋_GB2312" w:eastAsia="仿宋_GB2312"/>
          <w:b/>
          <w:bCs/>
          <w:color w:val="auto"/>
          <w:sz w:val="24"/>
          <w:szCs w:val="24"/>
        </w:rPr>
      </w:pPr>
      <w:r>
        <w:rPr>
          <w:rFonts w:ascii="仿宋_GB2312" w:eastAsia="仿宋_GB2312"/>
          <w:b/>
          <w:bCs/>
          <w:color w:val="auto"/>
          <w:sz w:val="24"/>
          <w:szCs w:val="24"/>
        </w:rPr>
        <w:t>3</w:t>
      </w:r>
      <w:r>
        <w:rPr>
          <w:rFonts w:hint="eastAsia" w:ascii="仿宋_GB2312" w:eastAsia="仿宋_GB2312"/>
          <w:b/>
          <w:bCs/>
          <w:color w:val="auto"/>
          <w:sz w:val="24"/>
          <w:szCs w:val="24"/>
        </w:rPr>
        <w:t>、本次审计组名单</w:t>
      </w:r>
    </w:p>
    <w:tbl>
      <w:tblPr>
        <w:tblStyle w:val="6"/>
        <w:tblW w:w="8637" w:type="dxa"/>
        <w:tblInd w:w="11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108" w:type="dxa"/>
          <w:bottom w:w="0" w:type="dxa"/>
          <w:right w:w="108" w:type="dxa"/>
        </w:tblCellMar>
      </w:tblPr>
      <w:tblGrid>
        <w:gridCol w:w="613"/>
        <w:gridCol w:w="1078"/>
        <w:gridCol w:w="709"/>
        <w:gridCol w:w="851"/>
        <w:gridCol w:w="1080"/>
        <w:gridCol w:w="3042"/>
        <w:gridCol w:w="126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59" w:hRule="atLeast"/>
        </w:trPr>
        <w:tc>
          <w:tcPr>
            <w:tcW w:w="61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snapToGrid/>
              <w:ind w:left="-53" w:leftChars="-25" w:right="-53" w:rightChars="-25"/>
              <w:textAlignment w:val="auto"/>
              <w:rPr>
                <w:rFonts w:ascii="仿宋" w:hAnsi="仿宋" w:eastAsia="仿宋" w:cs="宋体"/>
                <w:color w:val="auto"/>
                <w:kern w:val="0"/>
                <w:sz w:val="24"/>
                <w:szCs w:val="24"/>
              </w:rPr>
            </w:pPr>
            <w:r>
              <w:rPr>
                <w:rFonts w:hint="eastAsia" w:ascii="仿宋" w:hAnsi="仿宋" w:eastAsia="仿宋" w:cs="宋体"/>
                <w:color w:val="auto"/>
                <w:kern w:val="0"/>
                <w:sz w:val="24"/>
                <w:szCs w:val="24"/>
              </w:rPr>
              <w:t>序号</w:t>
            </w:r>
          </w:p>
        </w:tc>
        <w:tc>
          <w:tcPr>
            <w:tcW w:w="1078" w:type="dxa"/>
            <w:tcBorders>
              <w:tl2br w:val="nil"/>
              <w:tr2bl w:val="nil"/>
            </w:tcBorders>
            <w:noWrap w:val="0"/>
            <w:vAlign w:val="center"/>
          </w:tcPr>
          <w:p>
            <w:pPr>
              <w:widowControl/>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姓名</w:t>
            </w:r>
          </w:p>
        </w:tc>
        <w:tc>
          <w:tcPr>
            <w:tcW w:w="709" w:type="dxa"/>
            <w:tcBorders>
              <w:tl2br w:val="nil"/>
              <w:tr2bl w:val="nil"/>
            </w:tcBorders>
            <w:noWrap w:val="0"/>
            <w:vAlign w:val="center"/>
          </w:tcPr>
          <w:p>
            <w:pPr>
              <w:widowControl/>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性别</w:t>
            </w:r>
          </w:p>
        </w:tc>
        <w:tc>
          <w:tcPr>
            <w:tcW w:w="851" w:type="dxa"/>
            <w:tcBorders>
              <w:tl2br w:val="nil"/>
              <w:tr2bl w:val="nil"/>
            </w:tcBorders>
            <w:noWrap w:val="0"/>
            <w:vAlign w:val="center"/>
          </w:tcPr>
          <w:p>
            <w:pPr>
              <w:widowControl/>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学历</w:t>
            </w:r>
          </w:p>
        </w:tc>
        <w:tc>
          <w:tcPr>
            <w:tcW w:w="1080" w:type="dxa"/>
            <w:tcBorders>
              <w:tl2br w:val="nil"/>
              <w:tr2bl w:val="nil"/>
            </w:tcBorders>
            <w:noWrap w:val="0"/>
            <w:vAlign w:val="center"/>
          </w:tcPr>
          <w:p>
            <w:pPr>
              <w:widowControl/>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专业工作年限</w:t>
            </w:r>
          </w:p>
        </w:tc>
        <w:tc>
          <w:tcPr>
            <w:tcW w:w="3042" w:type="dxa"/>
            <w:tcBorders>
              <w:tl2br w:val="nil"/>
              <w:tr2bl w:val="nil"/>
            </w:tcBorders>
            <w:noWrap w:val="0"/>
            <w:vAlign w:val="center"/>
          </w:tcPr>
          <w:p>
            <w:pPr>
              <w:widowControl/>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职称或资格</w:t>
            </w:r>
          </w:p>
        </w:tc>
        <w:tc>
          <w:tcPr>
            <w:tcW w:w="1264"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拟派职务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6" w:hRule="atLeast"/>
        </w:trPr>
        <w:tc>
          <w:tcPr>
            <w:tcW w:w="613" w:type="dxa"/>
            <w:tcBorders>
              <w:tl2br w:val="nil"/>
              <w:tr2bl w:val="nil"/>
            </w:tcBorders>
            <w:noWrap w:val="0"/>
            <w:vAlign w:val="center"/>
          </w:tcPr>
          <w:p>
            <w:pPr>
              <w:widowControl/>
              <w:jc w:val="center"/>
              <w:rPr>
                <w:rFonts w:hint="eastAsia" w:ascii="仿宋" w:hAnsi="仿宋" w:eastAsia="仿宋" w:cs="宋体"/>
                <w:color w:val="auto"/>
                <w:kern w:val="0"/>
                <w:sz w:val="24"/>
                <w:szCs w:val="24"/>
                <w:lang w:val="en-US" w:eastAsia="zh-CN"/>
              </w:rPr>
            </w:pPr>
            <w:r>
              <w:rPr>
                <w:rFonts w:hint="eastAsia" w:ascii="仿宋" w:hAnsi="仿宋" w:eastAsia="仿宋" w:cs="宋体"/>
                <w:color w:val="auto"/>
                <w:kern w:val="0"/>
                <w:sz w:val="24"/>
                <w:szCs w:val="24"/>
                <w:lang w:val="en-US" w:eastAsia="zh-CN"/>
              </w:rPr>
              <w:t>1</w:t>
            </w:r>
          </w:p>
        </w:tc>
        <w:tc>
          <w:tcPr>
            <w:tcW w:w="1078" w:type="dxa"/>
            <w:tcBorders>
              <w:tl2br w:val="nil"/>
              <w:tr2bl w:val="nil"/>
            </w:tcBorders>
            <w:noWrap w:val="0"/>
            <w:vAlign w:val="center"/>
          </w:tcPr>
          <w:p>
            <w:pPr>
              <w:widowControl/>
              <w:jc w:val="left"/>
              <w:rPr>
                <w:rFonts w:ascii="仿宋" w:hAnsi="仿宋" w:eastAsia="仿宋" w:cs="宋体"/>
                <w:color w:val="auto"/>
                <w:kern w:val="0"/>
                <w:sz w:val="24"/>
                <w:szCs w:val="24"/>
              </w:rPr>
            </w:pPr>
          </w:p>
        </w:tc>
        <w:tc>
          <w:tcPr>
            <w:tcW w:w="709" w:type="dxa"/>
            <w:tcBorders>
              <w:tl2br w:val="nil"/>
              <w:tr2bl w:val="nil"/>
            </w:tcBorders>
            <w:noWrap w:val="0"/>
            <w:vAlign w:val="center"/>
          </w:tcPr>
          <w:p>
            <w:pPr>
              <w:widowControl/>
              <w:jc w:val="left"/>
              <w:rPr>
                <w:rFonts w:ascii="仿宋" w:hAnsi="仿宋" w:eastAsia="仿宋" w:cs="宋体"/>
                <w:color w:val="auto"/>
                <w:kern w:val="0"/>
                <w:sz w:val="24"/>
                <w:szCs w:val="24"/>
              </w:rPr>
            </w:pPr>
          </w:p>
        </w:tc>
        <w:tc>
          <w:tcPr>
            <w:tcW w:w="851" w:type="dxa"/>
            <w:tcBorders>
              <w:tl2br w:val="nil"/>
              <w:tr2bl w:val="nil"/>
            </w:tcBorders>
            <w:noWrap w:val="0"/>
            <w:vAlign w:val="center"/>
          </w:tcPr>
          <w:p>
            <w:pPr>
              <w:widowControl/>
              <w:jc w:val="left"/>
              <w:rPr>
                <w:rFonts w:ascii="仿宋" w:hAnsi="仿宋" w:eastAsia="仿宋" w:cs="宋体"/>
                <w:color w:val="auto"/>
                <w:kern w:val="0"/>
                <w:sz w:val="18"/>
                <w:szCs w:val="18"/>
              </w:rPr>
            </w:pPr>
          </w:p>
        </w:tc>
        <w:tc>
          <w:tcPr>
            <w:tcW w:w="1080" w:type="dxa"/>
            <w:tcBorders>
              <w:tl2br w:val="nil"/>
              <w:tr2bl w:val="nil"/>
            </w:tcBorders>
            <w:noWrap w:val="0"/>
            <w:vAlign w:val="center"/>
          </w:tcPr>
          <w:p>
            <w:pPr>
              <w:widowControl/>
              <w:jc w:val="left"/>
              <w:rPr>
                <w:rFonts w:ascii="仿宋" w:hAnsi="仿宋" w:eastAsia="仿宋" w:cs="宋体"/>
                <w:color w:val="auto"/>
                <w:kern w:val="0"/>
                <w:sz w:val="24"/>
                <w:szCs w:val="24"/>
              </w:rPr>
            </w:pPr>
          </w:p>
        </w:tc>
        <w:tc>
          <w:tcPr>
            <w:tcW w:w="3042"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264" w:type="dxa"/>
            <w:tcBorders>
              <w:tl2br w:val="nil"/>
              <w:tr2bl w:val="nil"/>
            </w:tcBorders>
            <w:noWrap w:val="0"/>
            <w:vAlign w:val="center"/>
          </w:tcPr>
          <w:p>
            <w:pPr>
              <w:widowControl/>
              <w:jc w:val="left"/>
              <w:rPr>
                <w:rFonts w:ascii="仿宋" w:hAnsi="仿宋" w:eastAsia="仿宋" w:cs="宋体"/>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6" w:hRule="atLeast"/>
        </w:trPr>
        <w:tc>
          <w:tcPr>
            <w:tcW w:w="613"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2</w:t>
            </w:r>
          </w:p>
        </w:tc>
        <w:tc>
          <w:tcPr>
            <w:tcW w:w="1078"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709"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851"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080"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p>
        </w:tc>
        <w:tc>
          <w:tcPr>
            <w:tcW w:w="3042"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264" w:type="dxa"/>
            <w:tcBorders>
              <w:tl2br w:val="nil"/>
              <w:tr2bl w:val="nil"/>
            </w:tcBorders>
            <w:noWrap w:val="0"/>
            <w:vAlign w:val="center"/>
          </w:tcPr>
          <w:p>
            <w:pPr>
              <w:widowControl/>
              <w:rPr>
                <w:rFonts w:hint="eastAsia" w:ascii="仿宋" w:hAnsi="仿宋" w:eastAsia="仿宋" w:cs="宋体"/>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6" w:hRule="atLeast"/>
        </w:trPr>
        <w:tc>
          <w:tcPr>
            <w:tcW w:w="613"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3</w:t>
            </w:r>
          </w:p>
        </w:tc>
        <w:tc>
          <w:tcPr>
            <w:tcW w:w="1078"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709"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851"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080"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p>
        </w:tc>
        <w:tc>
          <w:tcPr>
            <w:tcW w:w="3042"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264" w:type="dxa"/>
            <w:tcBorders>
              <w:tl2br w:val="nil"/>
              <w:tr2bl w:val="nil"/>
            </w:tcBorders>
            <w:noWrap w:val="0"/>
            <w:vAlign w:val="center"/>
          </w:tcPr>
          <w:p>
            <w:pPr>
              <w:widowControl/>
              <w:rPr>
                <w:rFonts w:hint="eastAsia" w:ascii="仿宋" w:hAnsi="仿宋" w:eastAsia="仿宋" w:cs="宋体"/>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6" w:hRule="atLeast"/>
        </w:trPr>
        <w:tc>
          <w:tcPr>
            <w:tcW w:w="613"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4</w:t>
            </w:r>
          </w:p>
        </w:tc>
        <w:tc>
          <w:tcPr>
            <w:tcW w:w="1078"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709"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851"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080"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p>
        </w:tc>
        <w:tc>
          <w:tcPr>
            <w:tcW w:w="3042"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264" w:type="dxa"/>
            <w:tcBorders>
              <w:tl2br w:val="nil"/>
              <w:tr2bl w:val="nil"/>
            </w:tcBorders>
            <w:noWrap w:val="0"/>
            <w:vAlign w:val="center"/>
          </w:tcPr>
          <w:p>
            <w:pPr>
              <w:widowControl/>
              <w:rPr>
                <w:rFonts w:hint="eastAsia" w:ascii="仿宋" w:hAnsi="仿宋" w:eastAsia="仿宋" w:cs="宋体"/>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6" w:hRule="atLeast"/>
        </w:trPr>
        <w:tc>
          <w:tcPr>
            <w:tcW w:w="613"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5</w:t>
            </w:r>
          </w:p>
        </w:tc>
        <w:tc>
          <w:tcPr>
            <w:tcW w:w="1078"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709"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851"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080"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p>
        </w:tc>
        <w:tc>
          <w:tcPr>
            <w:tcW w:w="3042"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264" w:type="dxa"/>
            <w:tcBorders>
              <w:tl2br w:val="nil"/>
              <w:tr2bl w:val="nil"/>
            </w:tcBorders>
            <w:noWrap w:val="0"/>
            <w:vAlign w:val="center"/>
          </w:tcPr>
          <w:p>
            <w:pPr>
              <w:widowControl/>
              <w:rPr>
                <w:rFonts w:hint="eastAsia" w:ascii="仿宋" w:hAnsi="仿宋" w:eastAsia="仿宋" w:cs="宋体"/>
                <w:color w:val="auto"/>
                <w:kern w:val="0"/>
                <w:sz w:val="24"/>
                <w:szCs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56" w:hRule="atLeast"/>
        </w:trPr>
        <w:tc>
          <w:tcPr>
            <w:tcW w:w="613"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r>
              <w:rPr>
                <w:rFonts w:hint="eastAsia" w:ascii="仿宋" w:hAnsi="仿宋" w:eastAsia="仿宋" w:cs="宋体"/>
                <w:color w:val="auto"/>
                <w:kern w:val="0"/>
                <w:sz w:val="24"/>
                <w:szCs w:val="24"/>
              </w:rPr>
              <w:t>6</w:t>
            </w:r>
          </w:p>
        </w:tc>
        <w:tc>
          <w:tcPr>
            <w:tcW w:w="1078"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709"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851"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080" w:type="dxa"/>
            <w:tcBorders>
              <w:tl2br w:val="nil"/>
              <w:tr2bl w:val="nil"/>
            </w:tcBorders>
            <w:noWrap w:val="0"/>
            <w:vAlign w:val="center"/>
          </w:tcPr>
          <w:p>
            <w:pPr>
              <w:widowControl/>
              <w:jc w:val="center"/>
              <w:rPr>
                <w:rFonts w:hint="eastAsia" w:ascii="仿宋" w:hAnsi="仿宋" w:eastAsia="仿宋" w:cs="宋体"/>
                <w:color w:val="auto"/>
                <w:kern w:val="0"/>
                <w:sz w:val="24"/>
                <w:szCs w:val="24"/>
              </w:rPr>
            </w:pPr>
          </w:p>
        </w:tc>
        <w:tc>
          <w:tcPr>
            <w:tcW w:w="3042" w:type="dxa"/>
            <w:tcBorders>
              <w:tl2br w:val="nil"/>
              <w:tr2bl w:val="nil"/>
            </w:tcBorders>
            <w:noWrap w:val="0"/>
            <w:vAlign w:val="center"/>
          </w:tcPr>
          <w:p>
            <w:pPr>
              <w:widowControl/>
              <w:rPr>
                <w:rFonts w:hint="eastAsia" w:ascii="仿宋" w:hAnsi="仿宋" w:eastAsia="仿宋" w:cs="宋体"/>
                <w:color w:val="auto"/>
                <w:kern w:val="0"/>
                <w:sz w:val="24"/>
                <w:szCs w:val="24"/>
              </w:rPr>
            </w:pPr>
          </w:p>
        </w:tc>
        <w:tc>
          <w:tcPr>
            <w:tcW w:w="1264" w:type="dxa"/>
            <w:tcBorders>
              <w:tl2br w:val="nil"/>
              <w:tr2bl w:val="nil"/>
            </w:tcBorders>
            <w:noWrap w:val="0"/>
            <w:vAlign w:val="center"/>
          </w:tcPr>
          <w:p>
            <w:pPr>
              <w:widowControl/>
              <w:rPr>
                <w:rFonts w:hint="eastAsia" w:ascii="仿宋" w:hAnsi="仿宋" w:eastAsia="仿宋" w:cs="宋体"/>
                <w:color w:val="auto"/>
                <w:kern w:val="0"/>
                <w:sz w:val="24"/>
                <w:szCs w:val="24"/>
              </w:rPr>
            </w:pPr>
          </w:p>
        </w:tc>
      </w:tr>
    </w:tbl>
    <w:p>
      <w:pPr>
        <w:autoSpaceDE w:val="0"/>
        <w:autoSpaceDN w:val="0"/>
        <w:adjustRightInd w:val="0"/>
        <w:snapToGrid w:val="0"/>
        <w:spacing w:before="156" w:beforeLines="50" w:line="520" w:lineRule="exact"/>
        <w:ind w:firstLine="482" w:firstLineChars="200"/>
        <w:rPr>
          <w:rFonts w:hint="eastAsia" w:ascii="黑体" w:hAnsi="黑体" w:eastAsia="黑体"/>
          <w:b/>
          <w:bCs/>
          <w:color w:val="auto"/>
          <w:sz w:val="24"/>
          <w:lang w:val="en-US" w:eastAsia="zh-CN"/>
        </w:rPr>
      </w:pPr>
    </w:p>
    <w:sectPr>
      <w:type w:val="continuous"/>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DBB586DB-DA3D-4F41-97D4-C584293FE5BC}"/>
  </w:font>
  <w:font w:name="黑体">
    <w:panose1 w:val="02010609060101010101"/>
    <w:charset w:val="86"/>
    <w:family w:val="auto"/>
    <w:pitch w:val="default"/>
    <w:sig w:usb0="800002BF" w:usb1="38CF7CFA" w:usb2="00000016" w:usb3="00000000" w:csb0="00040001" w:csb1="00000000"/>
    <w:embedRegular r:id="rId2" w:fontKey="{FDDE31B3-2E12-4281-84E9-0A7B9B59B44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3" w:fontKey="{0D766F60-4764-4A59-8065-180F27AD1BC0}"/>
  </w:font>
  <w:font w:name="方正小标宋_GBK">
    <w:panose1 w:val="03000509000000000000"/>
    <w:charset w:val="86"/>
    <w:family w:val="script"/>
    <w:pitch w:val="default"/>
    <w:sig w:usb0="00000001" w:usb1="080E0000" w:usb2="00000000" w:usb3="00000000" w:csb0="00040000" w:csb1="00000000"/>
    <w:embedRegular r:id="rId4" w:fontKey="{8D6F7933-E8DC-4695-8611-AC29FDA528BA}"/>
  </w:font>
  <w:font w:name="仿宋_GB2312">
    <w:panose1 w:val="02010609030101010101"/>
    <w:charset w:val="86"/>
    <w:family w:val="modern"/>
    <w:pitch w:val="default"/>
    <w:sig w:usb0="00000001" w:usb1="080E0000" w:usb2="00000000" w:usb3="00000000" w:csb0="00040000" w:csb1="00000000"/>
    <w:embedRegular r:id="rId5" w:fontKey="{6C593199-2BC5-42D1-96B1-40289D3DA4E7}"/>
  </w:font>
  <w:font w:name="华文中宋">
    <w:panose1 w:val="02010600040101010101"/>
    <w:charset w:val="86"/>
    <w:family w:val="auto"/>
    <w:pitch w:val="default"/>
    <w:sig w:usb0="00000287" w:usb1="080F0000" w:usb2="00000000" w:usb3="00000000" w:csb0="0004009F" w:csb1="DFD70000"/>
    <w:embedRegular r:id="rId6" w:fontKey="{CD37BB19-40AA-4F91-A612-079C2E55F76E}"/>
  </w:font>
  <w:font w:name="Wingdings 2">
    <w:panose1 w:val="05020102010507070707"/>
    <w:charset w:val="02"/>
    <w:family w:val="roman"/>
    <w:pitch w:val="default"/>
    <w:sig w:usb0="00000000" w:usb1="00000000" w:usb2="00000000" w:usb3="00000000" w:csb0="80000000" w:csb1="00000000"/>
    <w:embedRegular r:id="rId7" w:fontKey="{C796533D-7619-4341-8651-488994187B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FTMQafRAQAAogMAAA4AAAAAAAAAAQAgAAAAHgEAAGRy&#10;cy9lMm9Eb2MueG1sUEsFBgAAAAAGAAYAWQEAAGEFAAAAAA==&#10;">
              <v:fill on="f" focussize="0,0"/>
              <v:stroke on="f"/>
              <v:imagedata o:title=""/>
              <o:lock v:ext="edit" aspectratio="f"/>
              <v:textbox inset="0mm,0mm,0mm,0mm" style="mso-fit-shape-to-text:t;">
                <w:txbxContent>
                  <w:p>
                    <w:pPr>
                      <w:pStyle w:val="4"/>
                      <w:jc w:val="left"/>
                    </w:pPr>
                  </w:p>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pStyle w:val="4"/>
                      <w:jc w:val="left"/>
                    </w:pPr>
                  </w:p>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jc w:val="left"/>
                          </w:pPr>
                        </w:p>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PO5ICLRAQAAogMAAA4AAAAAAAAAAQAgAAAAHgEAAGRy&#10;cy9lMm9Eb2MueG1sUEsFBgAAAAAGAAYAWQEAAGEFAAAAAA==&#10;">
              <v:fill on="f" focussize="0,0"/>
              <v:stroke on="f"/>
              <v:imagedata o:title=""/>
              <o:lock v:ext="edit" aspectratio="f"/>
              <v:textbox inset="0mm,0mm,0mm,0mm" style="mso-fit-shape-to-text:t;">
                <w:txbxContent>
                  <w:p>
                    <w:pPr>
                      <w:pStyle w:val="4"/>
                      <w:jc w:val="left"/>
                    </w:pPr>
                  </w:p>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33F9DE"/>
    <w:multiLevelType w:val="singleLevel"/>
    <w:tmpl w:val="D333F9DE"/>
    <w:lvl w:ilvl="0" w:tentative="0">
      <w:start w:val="2"/>
      <w:numFmt w:val="chineseCounting"/>
      <w:suff w:val="nothing"/>
      <w:lvlText w:val="（%1）"/>
      <w:lvlJc w:val="left"/>
      <w:rPr>
        <w:rFonts w:hint="eastAsia"/>
      </w:rPr>
    </w:lvl>
  </w:abstractNum>
  <w:abstractNum w:abstractNumId="1">
    <w:nsid w:val="67F1BAFD"/>
    <w:multiLevelType w:val="singleLevel"/>
    <w:tmpl w:val="67F1BAF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hYjUzOGJjNmFkMWRjOWVhNWUyMDljYWI5NjFlNzUifQ=="/>
  </w:docVars>
  <w:rsids>
    <w:rsidRoot w:val="69E90B49"/>
    <w:rsid w:val="00195569"/>
    <w:rsid w:val="008C6C96"/>
    <w:rsid w:val="00E02E24"/>
    <w:rsid w:val="00EF1351"/>
    <w:rsid w:val="016D4EAD"/>
    <w:rsid w:val="01FF0067"/>
    <w:rsid w:val="02F9471E"/>
    <w:rsid w:val="03227F67"/>
    <w:rsid w:val="034566BC"/>
    <w:rsid w:val="03ED2572"/>
    <w:rsid w:val="044F3A40"/>
    <w:rsid w:val="065E601D"/>
    <w:rsid w:val="069D0748"/>
    <w:rsid w:val="075F6D8D"/>
    <w:rsid w:val="08757E1C"/>
    <w:rsid w:val="089A4646"/>
    <w:rsid w:val="091066B6"/>
    <w:rsid w:val="09710A71"/>
    <w:rsid w:val="09D26108"/>
    <w:rsid w:val="09DA31D3"/>
    <w:rsid w:val="0AF73FD1"/>
    <w:rsid w:val="0B1428C1"/>
    <w:rsid w:val="0B8514E7"/>
    <w:rsid w:val="0B8F4AD5"/>
    <w:rsid w:val="0C8573BB"/>
    <w:rsid w:val="0D0E0397"/>
    <w:rsid w:val="0E356551"/>
    <w:rsid w:val="0E3A5F83"/>
    <w:rsid w:val="0E795ACD"/>
    <w:rsid w:val="0EA738D2"/>
    <w:rsid w:val="0EBC4BEA"/>
    <w:rsid w:val="1017657C"/>
    <w:rsid w:val="101D790A"/>
    <w:rsid w:val="107D345A"/>
    <w:rsid w:val="10EC5C5A"/>
    <w:rsid w:val="10F7015B"/>
    <w:rsid w:val="121F05A6"/>
    <w:rsid w:val="12AC38F3"/>
    <w:rsid w:val="132B413A"/>
    <w:rsid w:val="143C565E"/>
    <w:rsid w:val="14942ED1"/>
    <w:rsid w:val="149D13A3"/>
    <w:rsid w:val="15900748"/>
    <w:rsid w:val="159742AC"/>
    <w:rsid w:val="15B7583E"/>
    <w:rsid w:val="165255A9"/>
    <w:rsid w:val="16855E11"/>
    <w:rsid w:val="17044DFD"/>
    <w:rsid w:val="184C6541"/>
    <w:rsid w:val="185D5292"/>
    <w:rsid w:val="18F2402A"/>
    <w:rsid w:val="19353F17"/>
    <w:rsid w:val="1A160DD3"/>
    <w:rsid w:val="1B7A3E63"/>
    <w:rsid w:val="1B9238A2"/>
    <w:rsid w:val="1BFB1448"/>
    <w:rsid w:val="1C161DDD"/>
    <w:rsid w:val="1DBE6B87"/>
    <w:rsid w:val="1DC238AD"/>
    <w:rsid w:val="1DE531E9"/>
    <w:rsid w:val="1FEC7F10"/>
    <w:rsid w:val="206C2914"/>
    <w:rsid w:val="20A34C1D"/>
    <w:rsid w:val="222E0CB1"/>
    <w:rsid w:val="22552F34"/>
    <w:rsid w:val="235356C5"/>
    <w:rsid w:val="23717DFA"/>
    <w:rsid w:val="23841D23"/>
    <w:rsid w:val="24264B88"/>
    <w:rsid w:val="264D464E"/>
    <w:rsid w:val="26610965"/>
    <w:rsid w:val="26BB5A5B"/>
    <w:rsid w:val="26FD2518"/>
    <w:rsid w:val="2753169F"/>
    <w:rsid w:val="278E2496"/>
    <w:rsid w:val="2920429C"/>
    <w:rsid w:val="293908A2"/>
    <w:rsid w:val="29417E34"/>
    <w:rsid w:val="295F3FB8"/>
    <w:rsid w:val="29733BB6"/>
    <w:rsid w:val="297C429B"/>
    <w:rsid w:val="2B00054B"/>
    <w:rsid w:val="2BA72CFC"/>
    <w:rsid w:val="2CA17774"/>
    <w:rsid w:val="2DBB3DC5"/>
    <w:rsid w:val="2DED6716"/>
    <w:rsid w:val="2E330CEB"/>
    <w:rsid w:val="2ECB36E5"/>
    <w:rsid w:val="2FFA4DF2"/>
    <w:rsid w:val="309A373C"/>
    <w:rsid w:val="3137032B"/>
    <w:rsid w:val="31E0281A"/>
    <w:rsid w:val="32C73234"/>
    <w:rsid w:val="32FE0DF7"/>
    <w:rsid w:val="339E0707"/>
    <w:rsid w:val="33B51A84"/>
    <w:rsid w:val="34DA3E98"/>
    <w:rsid w:val="35E11256"/>
    <w:rsid w:val="35FF5561"/>
    <w:rsid w:val="36025F88"/>
    <w:rsid w:val="366E4D24"/>
    <w:rsid w:val="37274A59"/>
    <w:rsid w:val="375515B4"/>
    <w:rsid w:val="38123949"/>
    <w:rsid w:val="38547C0B"/>
    <w:rsid w:val="387463B2"/>
    <w:rsid w:val="39627E0C"/>
    <w:rsid w:val="3992755D"/>
    <w:rsid w:val="3B985F13"/>
    <w:rsid w:val="3C265C15"/>
    <w:rsid w:val="3C330E21"/>
    <w:rsid w:val="3C5B0CDE"/>
    <w:rsid w:val="3C9F1C48"/>
    <w:rsid w:val="3CA67A3E"/>
    <w:rsid w:val="3CB46D7D"/>
    <w:rsid w:val="3CDA66B9"/>
    <w:rsid w:val="3D1123AF"/>
    <w:rsid w:val="3D740AE4"/>
    <w:rsid w:val="3DA20B02"/>
    <w:rsid w:val="3DBA51E3"/>
    <w:rsid w:val="3E391743"/>
    <w:rsid w:val="3E817133"/>
    <w:rsid w:val="3FDB2873"/>
    <w:rsid w:val="406B3BF6"/>
    <w:rsid w:val="41127E91"/>
    <w:rsid w:val="41941DFC"/>
    <w:rsid w:val="41B8730F"/>
    <w:rsid w:val="41D852BC"/>
    <w:rsid w:val="43056584"/>
    <w:rsid w:val="43217136"/>
    <w:rsid w:val="437D6727"/>
    <w:rsid w:val="44202F4A"/>
    <w:rsid w:val="443133A9"/>
    <w:rsid w:val="44801914"/>
    <w:rsid w:val="4550160D"/>
    <w:rsid w:val="45F66658"/>
    <w:rsid w:val="46003033"/>
    <w:rsid w:val="472563E4"/>
    <w:rsid w:val="488E2B78"/>
    <w:rsid w:val="48AE321A"/>
    <w:rsid w:val="494055D5"/>
    <w:rsid w:val="49BF6D61"/>
    <w:rsid w:val="49C00EC9"/>
    <w:rsid w:val="4A7D4C52"/>
    <w:rsid w:val="4B6B53F2"/>
    <w:rsid w:val="4BA95E00"/>
    <w:rsid w:val="4CE30FB8"/>
    <w:rsid w:val="4D2E2B7B"/>
    <w:rsid w:val="4DBA7F6B"/>
    <w:rsid w:val="4E300C3C"/>
    <w:rsid w:val="4E6B60F4"/>
    <w:rsid w:val="4EFE20DA"/>
    <w:rsid w:val="4F6F4D85"/>
    <w:rsid w:val="4FE70DC0"/>
    <w:rsid w:val="50011E81"/>
    <w:rsid w:val="50D03E52"/>
    <w:rsid w:val="513444D8"/>
    <w:rsid w:val="51F87826"/>
    <w:rsid w:val="523B270B"/>
    <w:rsid w:val="54D23DEC"/>
    <w:rsid w:val="555E38D2"/>
    <w:rsid w:val="55821CB6"/>
    <w:rsid w:val="55A41C2D"/>
    <w:rsid w:val="55BF7E07"/>
    <w:rsid w:val="55FA0FDF"/>
    <w:rsid w:val="56BF414D"/>
    <w:rsid w:val="582C6358"/>
    <w:rsid w:val="588B002B"/>
    <w:rsid w:val="58DA7189"/>
    <w:rsid w:val="59FA68DA"/>
    <w:rsid w:val="5A6A4AC7"/>
    <w:rsid w:val="5ABA3CA0"/>
    <w:rsid w:val="5AF02F69"/>
    <w:rsid w:val="5CD76E92"/>
    <w:rsid w:val="5D465377"/>
    <w:rsid w:val="5DD306C2"/>
    <w:rsid w:val="5E0D40E7"/>
    <w:rsid w:val="5F4355CF"/>
    <w:rsid w:val="60E801A3"/>
    <w:rsid w:val="61120392"/>
    <w:rsid w:val="61952A3A"/>
    <w:rsid w:val="62020CCE"/>
    <w:rsid w:val="62066B5F"/>
    <w:rsid w:val="62856942"/>
    <w:rsid w:val="6485109A"/>
    <w:rsid w:val="65CA1FF4"/>
    <w:rsid w:val="66081D64"/>
    <w:rsid w:val="66812481"/>
    <w:rsid w:val="68464DC5"/>
    <w:rsid w:val="686B482C"/>
    <w:rsid w:val="694766FF"/>
    <w:rsid w:val="69AF4AE9"/>
    <w:rsid w:val="69E90B49"/>
    <w:rsid w:val="6A1E78CE"/>
    <w:rsid w:val="6AD30543"/>
    <w:rsid w:val="6B054AC4"/>
    <w:rsid w:val="6B207313"/>
    <w:rsid w:val="6B4D1FC7"/>
    <w:rsid w:val="6B781786"/>
    <w:rsid w:val="6BC77FCB"/>
    <w:rsid w:val="6CA43E69"/>
    <w:rsid w:val="6D480C98"/>
    <w:rsid w:val="6E421AA8"/>
    <w:rsid w:val="6E661D1D"/>
    <w:rsid w:val="6E717E07"/>
    <w:rsid w:val="70472144"/>
    <w:rsid w:val="705F0618"/>
    <w:rsid w:val="70963B91"/>
    <w:rsid w:val="71196446"/>
    <w:rsid w:val="715C7408"/>
    <w:rsid w:val="717F04ED"/>
    <w:rsid w:val="71856318"/>
    <w:rsid w:val="724F0D1A"/>
    <w:rsid w:val="72646F2B"/>
    <w:rsid w:val="729B4FBF"/>
    <w:rsid w:val="74732A9E"/>
    <w:rsid w:val="748C043A"/>
    <w:rsid w:val="74E97204"/>
    <w:rsid w:val="765F4872"/>
    <w:rsid w:val="76FC1FA3"/>
    <w:rsid w:val="77405FA2"/>
    <w:rsid w:val="77A06C6D"/>
    <w:rsid w:val="77B26FDC"/>
    <w:rsid w:val="78CF7A38"/>
    <w:rsid w:val="78F0295F"/>
    <w:rsid w:val="799D56A0"/>
    <w:rsid w:val="79B03A96"/>
    <w:rsid w:val="7A1E7EE2"/>
    <w:rsid w:val="7AD9414B"/>
    <w:rsid w:val="7C1E0D98"/>
    <w:rsid w:val="7CA73C2D"/>
    <w:rsid w:val="7CC90AFD"/>
    <w:rsid w:val="7CE34539"/>
    <w:rsid w:val="7CF16C56"/>
    <w:rsid w:val="7D9C3A99"/>
    <w:rsid w:val="7DA8331F"/>
    <w:rsid w:val="7DC51E91"/>
    <w:rsid w:val="7EA76396"/>
    <w:rsid w:val="7EC363D0"/>
    <w:rsid w:val="7EE37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tabs>
        <w:tab w:val="left" w:pos="0"/>
      </w:tabs>
      <w:spacing w:line="360" w:lineRule="auto"/>
      <w:ind w:firstLine="482" w:firstLineChars="200"/>
      <w:outlineLvl w:val="0"/>
    </w:pPr>
    <w:rPr>
      <w:rFonts w:ascii="黑体" w:hAnsi="黑体" w:eastAsia="黑体"/>
      <w:b/>
      <w:sz w:val="24"/>
      <w:szCs w:val="2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szCs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font01"/>
    <w:basedOn w:val="8"/>
    <w:qFormat/>
    <w:uiPriority w:val="0"/>
    <w:rPr>
      <w:rFonts w:hint="eastAsia" w:ascii="宋体" w:hAnsi="宋体" w:eastAsia="宋体" w:cs="宋体"/>
      <w:color w:val="000000"/>
      <w:sz w:val="24"/>
      <w:szCs w:val="24"/>
      <w:u w:val="none"/>
    </w:rPr>
  </w:style>
  <w:style w:type="paragraph" w:customStyle="1" w:styleId="10">
    <w:name w:val="附注二级正文"/>
    <w:basedOn w:val="1"/>
    <w:qFormat/>
    <w:uiPriority w:val="0"/>
    <w:pPr>
      <w:adjustRightInd w:val="0"/>
      <w:snapToGrid w:val="0"/>
      <w:spacing w:line="398" w:lineRule="auto"/>
      <w:ind w:left="718" w:leftChars="342"/>
    </w:pPr>
    <w:rPr>
      <w:rFonts w:ascii="宋体" w:hAnsi="宋体"/>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10729</Words>
  <Characters>11280</Characters>
  <Lines>0</Lines>
  <Paragraphs>0</Paragraphs>
  <TotalTime>56</TotalTime>
  <ScaleCrop>false</ScaleCrop>
  <LinksUpToDate>false</LinksUpToDate>
  <CharactersWithSpaces>11552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2019-02-18T02:29:00Z</dcterms:created>
  <dc:creator>LENOVO</dc:creator>
  <cp:lastModifiedBy>WPS_1663754552</cp:lastModifiedBy>
  <cp:lastPrinted>2020-03-31T07:33:00Z</cp:lastPrinted>
  <dcterms:modified xsi:type="dcterms:W3CDTF">2023-06-16T07:49:12Z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6BC331DD9BA54D55935111862B646B60_13</vt:lpwstr>
  </property>
</Properties>
</file>