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FA2A31">
      <w:pPr>
        <w:spacing w:line="560" w:lineRule="exact"/>
        <w:ind w:firstLine="0" w:firstLineChars="0"/>
        <w:jc w:val="both"/>
        <w:rPr>
          <w:rFonts w:hint="default" w:ascii="仿宋" w:hAnsi="仿宋" w:eastAsia="仿宋" w:cs="Times New Roman"/>
          <w:bCs/>
          <w:color w:val="auto"/>
          <w:sz w:val="32"/>
          <w:szCs w:val="32"/>
          <w:highlight w:val="none"/>
          <w:lang w:val="en-US" w:eastAsia="zh-CN"/>
        </w:rPr>
      </w:pPr>
      <w:r>
        <w:rPr>
          <w:rFonts w:hint="eastAsia" w:ascii="仿宋" w:hAnsi="仿宋" w:eastAsia="仿宋" w:cs="Times New Roman"/>
          <w:bCs/>
          <w:color w:val="auto"/>
          <w:sz w:val="32"/>
          <w:szCs w:val="32"/>
          <w:highlight w:val="none"/>
          <w:lang w:val="en-US" w:eastAsia="zh-CN"/>
        </w:rPr>
        <w:t>附件1</w:t>
      </w:r>
    </w:p>
    <w:p w14:paraId="549EF33F">
      <w:pPr>
        <w:spacing w:line="560" w:lineRule="exact"/>
        <w:ind w:firstLine="0" w:firstLineChars="0"/>
        <w:jc w:val="both"/>
        <w:rPr>
          <w:rFonts w:hint="eastAsia" w:ascii="仿宋" w:hAnsi="仿宋" w:eastAsia="仿宋" w:cs="Times New Roman"/>
          <w:bCs/>
          <w:color w:val="auto"/>
          <w:sz w:val="32"/>
          <w:szCs w:val="32"/>
          <w:highlight w:val="none"/>
          <w:lang w:val="en-US" w:eastAsia="zh-CN"/>
        </w:rPr>
      </w:pPr>
    </w:p>
    <w:p w14:paraId="03D1B1EA">
      <w:pPr>
        <w:spacing w:line="560" w:lineRule="exact"/>
        <w:jc w:val="center"/>
        <w:rPr>
          <w:rFonts w:hint="eastAsia" w:ascii="方正小标宋_GBK" w:hAnsi="方正小标宋_GBK" w:eastAsia="方正小标宋_GBK" w:cs="方正小标宋_GBK"/>
          <w:color w:val="auto"/>
          <w:sz w:val="44"/>
          <w:szCs w:val="44"/>
          <w:highlight w:val="none"/>
        </w:rPr>
      </w:pPr>
      <w:r>
        <w:rPr>
          <w:rFonts w:hint="eastAsia" w:ascii="Times New Roman" w:hAnsi="Times New Roman" w:eastAsia="方正小标宋_GBK" w:cs="Times New Roman"/>
          <w:color w:val="000000"/>
          <w:sz w:val="44"/>
          <w:szCs w:val="44"/>
          <w:highlight w:val="none"/>
          <w:u w:val="none"/>
          <w:lang w:eastAsia="zh-CN"/>
        </w:rPr>
        <w:t>中国—马来西亚钦州产业园区马淑路（东段）工程二标段</w:t>
      </w:r>
      <w:r>
        <w:rPr>
          <w:rFonts w:hint="eastAsia" w:eastAsia="方正小标宋_GBK"/>
          <w:sz w:val="44"/>
          <w:szCs w:val="44"/>
          <w:highlight w:val="none"/>
        </w:rPr>
        <w:t>工程</w:t>
      </w:r>
      <w:r>
        <w:rPr>
          <w:rFonts w:hint="eastAsia" w:eastAsia="方正小标宋_GBK"/>
          <w:color w:val="auto"/>
          <w:sz w:val="44"/>
          <w:szCs w:val="44"/>
          <w:highlight w:val="none"/>
        </w:rPr>
        <w:t>监理</w:t>
      </w:r>
      <w:r>
        <w:rPr>
          <w:rFonts w:hint="eastAsia" w:ascii="方正小标宋_GBK" w:hAnsi="方正小标宋_GBK" w:eastAsia="方正小标宋_GBK" w:cs="方正小标宋_GBK"/>
          <w:color w:val="auto"/>
          <w:sz w:val="44"/>
          <w:szCs w:val="44"/>
          <w:highlight w:val="none"/>
        </w:rPr>
        <w:t>公开比选文件</w:t>
      </w:r>
    </w:p>
    <w:p w14:paraId="1D815BD7">
      <w:pPr>
        <w:spacing w:line="540" w:lineRule="exact"/>
        <w:ind w:firstLine="0" w:firstLineChars="0"/>
        <w:rPr>
          <w:rFonts w:hint="eastAsia" w:ascii="仿宋" w:hAnsi="仿宋" w:eastAsia="仿宋" w:cs="Times New Roman"/>
          <w:bCs/>
          <w:color w:val="auto"/>
          <w:sz w:val="32"/>
          <w:szCs w:val="32"/>
          <w:highlight w:val="none"/>
        </w:rPr>
      </w:pPr>
    </w:p>
    <w:p w14:paraId="5CDEAFC0">
      <w:pPr>
        <w:numPr>
          <w:ilvl w:val="-1"/>
          <w:numId w:val="0"/>
        </w:numPr>
        <w:spacing w:line="540" w:lineRule="exact"/>
        <w:ind w:firstLine="640" w:firstLineChars="200"/>
        <w:outlineLvl w:val="9"/>
        <w:rPr>
          <w:rFonts w:ascii="黑体" w:hAnsi="黑体" w:eastAsia="黑体"/>
          <w:color w:val="auto"/>
          <w:sz w:val="32"/>
          <w:szCs w:val="32"/>
          <w:highlight w:val="none"/>
        </w:rPr>
      </w:pPr>
      <w:r>
        <w:rPr>
          <w:rFonts w:hAnsi="仿宋" w:eastAsia="仿宋"/>
          <w:color w:val="auto"/>
          <w:sz w:val="32"/>
          <w:szCs w:val="32"/>
          <w:highlight w:val="none"/>
        </w:rPr>
        <w:t>我公司</w:t>
      </w:r>
      <w:r>
        <w:rPr>
          <w:rFonts w:hint="eastAsia" w:hAnsi="仿宋" w:eastAsia="仿宋"/>
          <w:color w:val="auto"/>
          <w:sz w:val="32"/>
          <w:szCs w:val="32"/>
          <w:highlight w:val="none"/>
          <w:lang w:val="en-US" w:eastAsia="zh-CN"/>
        </w:rPr>
        <w:t>拟通过组织中国—马来西亚钦州产业园区马淑路（东段）工程二标段工程监理服务</w:t>
      </w:r>
      <w:r>
        <w:rPr>
          <w:rFonts w:hint="eastAsia" w:hAnsi="仿宋" w:eastAsia="仿宋"/>
          <w:color w:val="auto"/>
          <w:sz w:val="32"/>
          <w:szCs w:val="32"/>
          <w:highlight w:val="none"/>
        </w:rPr>
        <w:t>事项</w:t>
      </w:r>
      <w:r>
        <w:rPr>
          <w:rFonts w:hAnsi="仿宋" w:eastAsia="仿宋"/>
          <w:color w:val="auto"/>
          <w:sz w:val="32"/>
          <w:szCs w:val="32"/>
          <w:highlight w:val="none"/>
        </w:rPr>
        <w:t>公开比选</w:t>
      </w:r>
      <w:r>
        <w:rPr>
          <w:rFonts w:hint="eastAsia" w:hAnsi="仿宋" w:eastAsia="仿宋"/>
          <w:color w:val="auto"/>
          <w:sz w:val="32"/>
          <w:szCs w:val="32"/>
          <w:highlight w:val="none"/>
        </w:rPr>
        <w:t>选择</w:t>
      </w:r>
      <w:r>
        <w:rPr>
          <w:rFonts w:hint="eastAsia" w:hAnsi="仿宋" w:eastAsia="仿宋"/>
          <w:color w:val="auto"/>
          <w:sz w:val="32"/>
          <w:szCs w:val="32"/>
          <w:highlight w:val="none"/>
          <w:lang w:val="en-US" w:eastAsia="zh-CN"/>
        </w:rPr>
        <w:t>监理</w:t>
      </w:r>
      <w:r>
        <w:rPr>
          <w:rFonts w:hint="eastAsia" w:hAnsi="仿宋" w:eastAsia="仿宋"/>
          <w:color w:val="auto"/>
          <w:sz w:val="32"/>
          <w:szCs w:val="32"/>
          <w:highlight w:val="none"/>
        </w:rPr>
        <w:t>单位</w:t>
      </w:r>
      <w:r>
        <w:rPr>
          <w:rFonts w:hAnsi="仿宋" w:eastAsia="仿宋"/>
          <w:color w:val="auto"/>
          <w:sz w:val="32"/>
          <w:szCs w:val="32"/>
          <w:highlight w:val="none"/>
        </w:rPr>
        <w:t>，具体事项如下</w:t>
      </w:r>
      <w:r>
        <w:rPr>
          <w:rFonts w:hint="eastAsia" w:hAnsi="仿宋" w:eastAsia="仿宋"/>
          <w:color w:val="auto"/>
          <w:sz w:val="32"/>
          <w:szCs w:val="32"/>
          <w:highlight w:val="none"/>
          <w:lang w:eastAsia="zh-CN"/>
        </w:rPr>
        <w:t>：</w:t>
      </w:r>
    </w:p>
    <w:p w14:paraId="0AFCEDDB">
      <w:pPr>
        <w:numPr>
          <w:ilvl w:val="0"/>
          <w:numId w:val="1"/>
        </w:numPr>
        <w:spacing w:line="540" w:lineRule="exact"/>
        <w:ind w:firstLine="640" w:firstLineChars="200"/>
        <w:rPr>
          <w:rFonts w:ascii="黑体" w:hAnsi="黑体" w:eastAsia="黑体"/>
          <w:color w:val="auto"/>
          <w:sz w:val="32"/>
          <w:szCs w:val="32"/>
          <w:highlight w:val="none"/>
        </w:rPr>
      </w:pPr>
      <w:r>
        <w:rPr>
          <w:rFonts w:ascii="黑体" w:hAnsi="黑体" w:eastAsia="黑体"/>
          <w:color w:val="auto"/>
          <w:sz w:val="32"/>
          <w:szCs w:val="32"/>
          <w:highlight w:val="none"/>
        </w:rPr>
        <w:t>项目基本情况</w:t>
      </w:r>
    </w:p>
    <w:p w14:paraId="71B9356B">
      <w:pPr>
        <w:numPr>
          <w:ilvl w:val="-1"/>
          <w:numId w:val="0"/>
        </w:numPr>
        <w:spacing w:line="540" w:lineRule="exact"/>
        <w:ind w:firstLine="640" w:firstLineChars="200"/>
        <w:jc w:val="left"/>
        <w:rPr>
          <w:rFonts w:hint="eastAsia" w:ascii="仿宋" w:hAnsi="仿宋" w:eastAsia="仿宋" w:cs="Times New Roman"/>
          <w:bCs/>
          <w:sz w:val="32"/>
          <w:szCs w:val="32"/>
          <w:highlight w:val="none"/>
          <w:lang w:val="en-US" w:eastAsia="zh-CN"/>
        </w:rPr>
      </w:pPr>
      <w:r>
        <w:rPr>
          <w:rFonts w:hint="eastAsia" w:ascii="仿宋" w:hAnsi="仿宋" w:eastAsia="仿宋" w:cs="Times New Roman"/>
          <w:bCs/>
          <w:sz w:val="32"/>
          <w:szCs w:val="32"/>
          <w:highlight w:val="none"/>
          <w:lang w:val="en-US" w:eastAsia="zh-CN"/>
        </w:rPr>
        <w:t>（一）项目地点：中国一马来西亚钦州产业园区马淑路(东段)工程二标段由西向东，西起丹二路交叉口，东至锦绣大道交叉口。</w:t>
      </w:r>
    </w:p>
    <w:p w14:paraId="776BD145">
      <w:pPr>
        <w:numPr>
          <w:ilvl w:val="0"/>
          <w:numId w:val="0"/>
        </w:numPr>
        <w:spacing w:line="540" w:lineRule="exact"/>
        <w:ind w:firstLine="640" w:firstLineChars="200"/>
        <w:jc w:val="left"/>
        <w:rPr>
          <w:rFonts w:hint="default" w:ascii="仿宋" w:hAnsi="仿宋" w:eastAsia="仿宋" w:cs="Times New Roman"/>
          <w:bCs/>
          <w:sz w:val="32"/>
          <w:szCs w:val="32"/>
          <w:highlight w:val="none"/>
          <w:lang w:val="en-US" w:eastAsia="zh-CN"/>
        </w:rPr>
      </w:pPr>
      <w:r>
        <w:rPr>
          <w:rFonts w:hint="eastAsia" w:ascii="仿宋" w:hAnsi="仿宋" w:eastAsia="仿宋" w:cs="Times New Roman"/>
          <w:bCs/>
          <w:sz w:val="32"/>
          <w:szCs w:val="32"/>
          <w:highlight w:val="none"/>
          <w:lang w:val="en-US" w:eastAsia="zh-CN"/>
        </w:rPr>
        <w:t>（二）建设规模：中国一马来西亚钦州产业园区马淑路(东段)工程二标段，道路沿线由西向东依次与丹二路、友谊大道、锦绣大道相交。道路红线宽度45m，路线全长955.902m，扣除交叉口范围后，实施长度821.562m，为城市主干路。主要工程内容包括道路、给排水工程、强弱电管沟预埋、照明、交通、绿化及附属工程等。</w:t>
      </w:r>
    </w:p>
    <w:p w14:paraId="07DB008F">
      <w:pPr>
        <w:spacing w:line="540" w:lineRule="exact"/>
        <w:ind w:firstLine="640" w:firstLineChars="200"/>
        <w:rPr>
          <w:rFonts w:hAnsi="仿宋" w:eastAsia="仿宋"/>
          <w:sz w:val="32"/>
          <w:szCs w:val="32"/>
          <w:highlight w:val="none"/>
        </w:rPr>
      </w:pPr>
      <w:r>
        <w:rPr>
          <w:rFonts w:hint="eastAsia" w:ascii="仿宋" w:hAnsi="仿宋" w:eastAsia="仿宋" w:cs="Times New Roman"/>
          <w:bCs/>
          <w:sz w:val="32"/>
          <w:szCs w:val="32"/>
          <w:highlight w:val="none"/>
          <w:lang w:val="en-US" w:eastAsia="zh-CN"/>
        </w:rPr>
        <w:t>（三）</w:t>
      </w:r>
      <w:r>
        <w:rPr>
          <w:rFonts w:hint="eastAsia" w:hAnsi="仿宋" w:eastAsia="仿宋"/>
          <w:sz w:val="32"/>
          <w:szCs w:val="32"/>
          <w:highlight w:val="none"/>
        </w:rPr>
        <w:t>本项目的监理预算</w:t>
      </w:r>
      <w:r>
        <w:rPr>
          <w:rFonts w:hint="eastAsia" w:hAnsi="仿宋" w:eastAsia="仿宋"/>
          <w:sz w:val="32"/>
          <w:szCs w:val="32"/>
          <w:highlight w:val="none"/>
          <w:lang w:val="en-US" w:eastAsia="zh-CN"/>
        </w:rPr>
        <w:t>上限价</w:t>
      </w:r>
      <w:r>
        <w:rPr>
          <w:rFonts w:hint="eastAsia" w:hAnsi="仿宋" w:eastAsia="仿宋"/>
          <w:sz w:val="32"/>
          <w:szCs w:val="32"/>
          <w:highlight w:val="none"/>
        </w:rPr>
        <w:t>为</w:t>
      </w:r>
      <w:r>
        <w:rPr>
          <w:rFonts w:hint="eastAsia" w:hAnsi="仿宋" w:eastAsia="仿宋"/>
          <w:sz w:val="32"/>
          <w:szCs w:val="32"/>
          <w:highlight w:val="none"/>
          <w:lang w:val="en-US" w:eastAsia="zh-CN"/>
        </w:rPr>
        <w:t>68.74</w:t>
      </w:r>
      <w:r>
        <w:rPr>
          <w:rFonts w:hint="eastAsia" w:hAnsi="仿宋" w:eastAsia="仿宋"/>
          <w:sz w:val="32"/>
          <w:szCs w:val="32"/>
          <w:highlight w:val="none"/>
        </w:rPr>
        <w:t>万元</w:t>
      </w:r>
      <w:r>
        <w:rPr>
          <w:rFonts w:hint="eastAsia" w:hAnsi="仿宋" w:eastAsia="仿宋"/>
          <w:sz w:val="32"/>
          <w:szCs w:val="32"/>
          <w:highlight w:val="none"/>
          <w:lang w:eastAsia="zh-CN"/>
        </w:rPr>
        <w:t>（</w:t>
      </w:r>
      <w:r>
        <w:rPr>
          <w:rFonts w:hint="eastAsia" w:hAnsi="仿宋" w:eastAsia="仿宋"/>
          <w:sz w:val="32"/>
          <w:szCs w:val="32"/>
          <w:highlight w:val="none"/>
          <w:lang w:val="en-US" w:eastAsia="zh-CN"/>
        </w:rPr>
        <w:t>下浮系数为35%</w:t>
      </w:r>
      <w:r>
        <w:rPr>
          <w:rFonts w:hint="eastAsia" w:hAnsi="仿宋" w:eastAsia="仿宋"/>
          <w:sz w:val="32"/>
          <w:szCs w:val="32"/>
          <w:highlight w:val="none"/>
          <w:lang w:eastAsia="zh-CN"/>
        </w:rPr>
        <w:t>）</w:t>
      </w:r>
      <w:r>
        <w:rPr>
          <w:rFonts w:hint="eastAsia" w:hAnsi="仿宋" w:eastAsia="仿宋"/>
          <w:sz w:val="32"/>
          <w:szCs w:val="32"/>
          <w:highlight w:val="none"/>
        </w:rPr>
        <w:t>。</w:t>
      </w:r>
    </w:p>
    <w:p w14:paraId="4368A707">
      <w:pPr>
        <w:spacing w:line="540" w:lineRule="exact"/>
        <w:ind w:left="638" w:leftChars="304"/>
        <w:rPr>
          <w:rFonts w:ascii="黑体" w:hAnsi="黑体" w:eastAsia="黑体"/>
          <w:color w:val="auto"/>
          <w:sz w:val="32"/>
          <w:szCs w:val="32"/>
          <w:highlight w:val="none"/>
        </w:rPr>
      </w:pPr>
      <w:r>
        <w:rPr>
          <w:rFonts w:ascii="黑体" w:hAnsi="黑体" w:eastAsia="黑体"/>
          <w:color w:val="auto"/>
          <w:sz w:val="32"/>
          <w:szCs w:val="32"/>
          <w:highlight w:val="none"/>
        </w:rPr>
        <w:t>二、报价单位要求</w:t>
      </w:r>
    </w:p>
    <w:p w14:paraId="4787942B">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（一）报价人须具备建设行政主管部门颁发的市政公用工程监理</w:t>
      </w:r>
      <w:r>
        <w:rPr>
          <w:rFonts w:hint="eastAsia" w:hAnsi="仿宋" w:eastAsia="仿宋"/>
          <w:sz w:val="32"/>
          <w:szCs w:val="32"/>
          <w:highlight w:val="none"/>
          <w:lang w:eastAsia="zh-CN"/>
        </w:rPr>
        <w:t>甲级</w:t>
      </w:r>
      <w:r>
        <w:rPr>
          <w:rFonts w:hint="eastAsia" w:hAnsi="仿宋" w:eastAsia="仿宋"/>
          <w:sz w:val="32"/>
          <w:szCs w:val="32"/>
          <w:highlight w:val="none"/>
        </w:rPr>
        <w:t>（含</w:t>
      </w:r>
      <w:r>
        <w:rPr>
          <w:rFonts w:hint="eastAsia" w:hAnsi="仿宋" w:eastAsia="仿宋"/>
          <w:sz w:val="32"/>
          <w:szCs w:val="32"/>
          <w:highlight w:val="none"/>
          <w:lang w:eastAsia="zh-CN"/>
        </w:rPr>
        <w:t>甲级</w:t>
      </w:r>
      <w:r>
        <w:rPr>
          <w:rFonts w:hint="eastAsia" w:hAnsi="仿宋" w:eastAsia="仿宋"/>
          <w:sz w:val="32"/>
          <w:szCs w:val="32"/>
          <w:highlight w:val="none"/>
        </w:rPr>
        <w:t xml:space="preserve">）及以上资质； </w:t>
      </w:r>
    </w:p>
    <w:p w14:paraId="59C2B1B6">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（二）报价人拟派总监理工程师须具备市政公用工程专业国家注册监理工程师执业资格；</w:t>
      </w:r>
    </w:p>
    <w:p w14:paraId="3E2B5506">
      <w:pPr>
        <w:spacing w:line="540" w:lineRule="exact"/>
        <w:ind w:left="638" w:leftChars="304" w:firstLine="0" w:firstLineChars="0"/>
        <w:rPr>
          <w:rFonts w:ascii="黑体" w:hAnsi="黑体" w:eastAsia="黑体"/>
          <w:color w:val="auto"/>
          <w:sz w:val="32"/>
          <w:szCs w:val="32"/>
          <w:highlight w:val="none"/>
        </w:rPr>
      </w:pPr>
      <w:r>
        <w:rPr>
          <w:rFonts w:hint="eastAsia" w:hAnsi="仿宋" w:eastAsia="仿宋"/>
          <w:sz w:val="32"/>
          <w:szCs w:val="32"/>
          <w:highlight w:val="none"/>
        </w:rPr>
        <w:t>（三）报价人</w:t>
      </w:r>
      <w:r>
        <w:rPr>
          <w:rFonts w:hint="eastAsia" w:hAnsi="仿宋" w:eastAsia="仿宋"/>
          <w:sz w:val="32"/>
          <w:szCs w:val="32"/>
          <w:highlight w:val="none"/>
          <w:lang w:val="en-US" w:eastAsia="zh-CN"/>
        </w:rPr>
        <w:t>2023年以来</w:t>
      </w:r>
      <w:r>
        <w:rPr>
          <w:rFonts w:hint="eastAsia" w:hAnsi="仿宋" w:eastAsia="仿宋"/>
          <w:sz w:val="32"/>
          <w:szCs w:val="32"/>
          <w:highlight w:val="none"/>
          <w:lang w:eastAsia="zh-CN"/>
        </w:rPr>
        <w:t>承接的</w:t>
      </w:r>
      <w:r>
        <w:rPr>
          <w:rFonts w:hint="eastAsia" w:hAnsi="仿宋" w:eastAsia="仿宋"/>
          <w:sz w:val="32"/>
          <w:szCs w:val="32"/>
          <w:highlight w:val="none"/>
          <w:lang w:val="en-US" w:eastAsia="zh-CN"/>
        </w:rPr>
        <w:t>类似</w:t>
      </w:r>
      <w:r>
        <w:rPr>
          <w:rFonts w:hint="eastAsia" w:hAnsi="仿宋" w:eastAsia="仿宋"/>
          <w:sz w:val="32"/>
          <w:szCs w:val="32"/>
          <w:highlight w:val="none"/>
        </w:rPr>
        <w:t>监理</w:t>
      </w:r>
      <w:r>
        <w:rPr>
          <w:rFonts w:hint="eastAsia" w:hAnsi="仿宋" w:eastAsia="仿宋"/>
          <w:sz w:val="32"/>
          <w:szCs w:val="32"/>
          <w:highlight w:val="none"/>
          <w:lang w:eastAsia="zh-CN"/>
        </w:rPr>
        <w:t>项目不少于</w:t>
      </w:r>
      <w:r>
        <w:rPr>
          <w:rFonts w:hint="eastAsia" w:hAnsi="仿宋" w:eastAsia="仿宋"/>
          <w:sz w:val="32"/>
          <w:szCs w:val="32"/>
          <w:highlight w:val="none"/>
        </w:rPr>
        <w:t>2</w:t>
      </w:r>
      <w:r>
        <w:rPr>
          <w:rFonts w:hint="eastAsia" w:hAnsi="仿宋" w:eastAsia="仿宋"/>
          <w:sz w:val="32"/>
          <w:szCs w:val="32"/>
          <w:highlight w:val="none"/>
          <w:lang w:eastAsia="zh-CN"/>
        </w:rPr>
        <w:t>个</w:t>
      </w:r>
      <w:r>
        <w:rPr>
          <w:rFonts w:ascii="黑体" w:hAnsi="黑体" w:eastAsia="黑体"/>
          <w:color w:val="auto"/>
          <w:sz w:val="32"/>
          <w:szCs w:val="32"/>
          <w:highlight w:val="none"/>
        </w:rPr>
        <w:t>三、比选须知</w:t>
      </w:r>
    </w:p>
    <w:p w14:paraId="04FC45C9">
      <w:pPr>
        <w:spacing w:line="540" w:lineRule="exact"/>
        <w:ind w:firstLine="640" w:firstLineChars="200"/>
        <w:rPr>
          <w:rFonts w:ascii="Times New Roman" w:hAnsi="仿宋" w:eastAsia="仿宋"/>
          <w:color w:val="auto"/>
          <w:sz w:val="32"/>
          <w:szCs w:val="32"/>
          <w:highlight w:val="none"/>
        </w:rPr>
      </w:pPr>
      <w:r>
        <w:rPr>
          <w:rFonts w:hint="eastAsia" w:hAnsi="仿宋" w:eastAsia="仿宋"/>
          <w:color w:val="auto"/>
          <w:sz w:val="32"/>
          <w:szCs w:val="32"/>
          <w:highlight w:val="none"/>
        </w:rPr>
        <w:t>（一）比选采购范围：</w:t>
      </w:r>
      <w:r>
        <w:rPr>
          <w:rFonts w:hint="eastAsia" w:hAnsi="仿宋" w:eastAsia="仿宋"/>
          <w:color w:val="auto"/>
          <w:sz w:val="32"/>
          <w:szCs w:val="32"/>
          <w:highlight w:val="none"/>
          <w:lang w:val="en-US" w:eastAsia="zh-CN"/>
        </w:rPr>
        <w:t>中国—马来西亚钦州产业园区马淑路（东段）工程二标段工程</w:t>
      </w:r>
      <w:r>
        <w:rPr>
          <w:rFonts w:hint="eastAsia" w:ascii="仿宋" w:hAnsi="仿宋" w:eastAsia="仿宋"/>
          <w:bCs/>
          <w:sz w:val="32"/>
          <w:szCs w:val="32"/>
          <w:highlight w:val="none"/>
        </w:rPr>
        <w:t>施工图及工程量清单中全部内容的施工阶段及缺陷责任期阶段监理</w:t>
      </w:r>
      <w:r>
        <w:rPr>
          <w:rFonts w:hint="eastAsia" w:hAnsi="仿宋" w:eastAsia="仿宋"/>
          <w:color w:val="auto"/>
          <w:sz w:val="32"/>
          <w:szCs w:val="32"/>
          <w:highlight w:val="none"/>
        </w:rPr>
        <w:t>。</w:t>
      </w:r>
    </w:p>
    <w:p w14:paraId="59B8CA4F">
      <w:pPr>
        <w:spacing w:line="540" w:lineRule="exact"/>
        <w:ind w:firstLine="640" w:firstLineChars="200"/>
        <w:rPr>
          <w:rFonts w:hAnsi="仿宋" w:eastAsia="仿宋"/>
          <w:color w:val="auto"/>
          <w:sz w:val="32"/>
          <w:szCs w:val="32"/>
          <w:highlight w:val="none"/>
        </w:rPr>
      </w:pPr>
      <w:r>
        <w:rPr>
          <w:rFonts w:hAnsi="仿宋" w:eastAsia="仿宋"/>
          <w:color w:val="auto"/>
          <w:sz w:val="32"/>
          <w:szCs w:val="32"/>
          <w:highlight w:val="none"/>
        </w:rPr>
        <w:t>（</w:t>
      </w:r>
      <w:r>
        <w:rPr>
          <w:rFonts w:hint="eastAsia" w:hAnsi="仿宋" w:eastAsia="仿宋"/>
          <w:color w:val="auto"/>
          <w:sz w:val="32"/>
          <w:szCs w:val="32"/>
          <w:highlight w:val="none"/>
        </w:rPr>
        <w:t>二</w:t>
      </w:r>
      <w:r>
        <w:rPr>
          <w:rFonts w:hAnsi="仿宋" w:eastAsia="仿宋"/>
          <w:color w:val="auto"/>
          <w:sz w:val="32"/>
          <w:szCs w:val="32"/>
          <w:highlight w:val="none"/>
        </w:rPr>
        <w:t>）接收报价文件截止日期：至</w:t>
      </w:r>
      <w:r>
        <w:rPr>
          <w:rFonts w:eastAsia="仿宋"/>
          <w:color w:val="auto"/>
          <w:sz w:val="32"/>
          <w:szCs w:val="32"/>
          <w:highlight w:val="none"/>
        </w:rPr>
        <w:t>20</w:t>
      </w:r>
      <w:r>
        <w:rPr>
          <w:rFonts w:hint="eastAsia" w:eastAsia="仿宋"/>
          <w:color w:val="auto"/>
          <w:sz w:val="32"/>
          <w:szCs w:val="32"/>
          <w:highlight w:val="none"/>
        </w:rPr>
        <w:t>2</w:t>
      </w:r>
      <w:r>
        <w:rPr>
          <w:rFonts w:hint="eastAsia" w:eastAsia="仿宋"/>
          <w:color w:val="auto"/>
          <w:sz w:val="32"/>
          <w:szCs w:val="32"/>
          <w:highlight w:val="none"/>
          <w:lang w:val="en-US" w:eastAsia="zh-CN"/>
        </w:rPr>
        <w:t>6</w:t>
      </w:r>
      <w:r>
        <w:rPr>
          <w:rFonts w:hAnsi="仿宋" w:eastAsia="仿宋"/>
          <w:color w:val="auto"/>
          <w:sz w:val="32"/>
          <w:szCs w:val="32"/>
          <w:highlight w:val="none"/>
        </w:rPr>
        <w:t>年</w:t>
      </w:r>
      <w:r>
        <w:rPr>
          <w:rFonts w:hint="eastAsia" w:hAnsi="仿宋" w:eastAsia="仿宋"/>
          <w:color w:val="auto"/>
          <w:sz w:val="32"/>
          <w:szCs w:val="32"/>
          <w:highlight w:val="none"/>
          <w:lang w:val="en-US" w:eastAsia="zh-CN"/>
        </w:rPr>
        <w:t>5</w:t>
      </w:r>
      <w:r>
        <w:rPr>
          <w:rFonts w:hAnsi="仿宋" w:eastAsia="仿宋"/>
          <w:color w:val="auto"/>
          <w:sz w:val="32"/>
          <w:szCs w:val="32"/>
          <w:highlight w:val="none"/>
        </w:rPr>
        <w:t>月</w:t>
      </w:r>
      <w:r>
        <w:rPr>
          <w:rFonts w:hint="eastAsia" w:hAnsi="仿宋" w:eastAsia="仿宋"/>
          <w:color w:val="auto"/>
          <w:sz w:val="32"/>
          <w:szCs w:val="32"/>
          <w:highlight w:val="none"/>
          <w:lang w:val="en-US" w:eastAsia="zh-CN"/>
        </w:rPr>
        <w:t>8</w:t>
      </w:r>
      <w:r>
        <w:rPr>
          <w:rFonts w:hAnsi="仿宋" w:eastAsia="仿宋"/>
          <w:color w:val="auto"/>
          <w:sz w:val="32"/>
          <w:szCs w:val="32"/>
          <w:highlight w:val="none"/>
        </w:rPr>
        <w:t>日</w:t>
      </w:r>
      <w:r>
        <w:rPr>
          <w:rFonts w:eastAsia="仿宋"/>
          <w:color w:val="auto"/>
          <w:sz w:val="32"/>
          <w:szCs w:val="32"/>
          <w:highlight w:val="none"/>
        </w:rPr>
        <w:t>1</w:t>
      </w:r>
      <w:r>
        <w:rPr>
          <w:rFonts w:hint="eastAsia" w:eastAsia="仿宋"/>
          <w:color w:val="auto"/>
          <w:sz w:val="32"/>
          <w:szCs w:val="32"/>
          <w:highlight w:val="none"/>
          <w:lang w:val="en-US" w:eastAsia="zh-CN"/>
        </w:rPr>
        <w:t>8</w:t>
      </w:r>
      <w:r>
        <w:rPr>
          <w:rFonts w:eastAsia="仿宋"/>
          <w:color w:val="auto"/>
          <w:sz w:val="32"/>
          <w:szCs w:val="32"/>
          <w:highlight w:val="none"/>
        </w:rPr>
        <w:t>:00</w:t>
      </w:r>
      <w:r>
        <w:rPr>
          <w:rFonts w:hAnsi="仿宋" w:eastAsia="仿宋"/>
          <w:color w:val="auto"/>
          <w:sz w:val="32"/>
          <w:szCs w:val="32"/>
          <w:highlight w:val="none"/>
        </w:rPr>
        <w:t>止。</w:t>
      </w:r>
    </w:p>
    <w:p w14:paraId="160CDA55">
      <w:pPr>
        <w:spacing w:line="54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（三）</w:t>
      </w:r>
      <w:r>
        <w:rPr>
          <w:rFonts w:hint="eastAsia" w:ascii="Times New Roman" w:hAnsi="仿宋" w:eastAsia="仿宋"/>
          <w:color w:val="auto"/>
          <w:sz w:val="32"/>
          <w:szCs w:val="32"/>
          <w:highlight w:val="none"/>
        </w:rPr>
        <w:t>监理期限：</w:t>
      </w:r>
      <w:r>
        <w:rPr>
          <w:rFonts w:hint="eastAsia" w:hAnsi="仿宋" w:eastAsia="仿宋"/>
          <w:color w:val="auto"/>
          <w:sz w:val="32"/>
          <w:szCs w:val="32"/>
          <w:highlight w:val="none"/>
        </w:rPr>
        <w:t>以监理合同生效之日起至工程保修期满为止。</w:t>
      </w:r>
    </w:p>
    <w:p w14:paraId="2B481C61">
      <w:pPr>
        <w:spacing w:line="540" w:lineRule="exact"/>
        <w:ind w:firstLine="640" w:firstLineChars="200"/>
        <w:rPr>
          <w:rFonts w:hint="default" w:hAnsi="仿宋" w:eastAsia="仿宋"/>
          <w:color w:val="auto"/>
          <w:sz w:val="32"/>
          <w:szCs w:val="32"/>
          <w:highlight w:val="none"/>
          <w:lang w:val="en-US" w:eastAsia="zh-CN"/>
        </w:rPr>
      </w:pPr>
      <w:r>
        <w:rPr>
          <w:rFonts w:hint="eastAsia" w:hAnsi="仿宋" w:eastAsia="仿宋"/>
          <w:color w:val="auto"/>
          <w:sz w:val="32"/>
          <w:szCs w:val="32"/>
          <w:highlight w:val="none"/>
          <w:lang w:eastAsia="zh-CN"/>
        </w:rPr>
        <w:t>（</w:t>
      </w:r>
      <w:r>
        <w:rPr>
          <w:rFonts w:hint="eastAsia" w:hAnsi="仿宋" w:eastAsia="仿宋"/>
          <w:color w:val="auto"/>
          <w:sz w:val="32"/>
          <w:szCs w:val="32"/>
          <w:highlight w:val="none"/>
          <w:lang w:val="en-US" w:eastAsia="zh-CN"/>
        </w:rPr>
        <w:t>四</w:t>
      </w:r>
      <w:r>
        <w:rPr>
          <w:rFonts w:hint="eastAsia" w:hAnsi="仿宋" w:eastAsia="仿宋"/>
          <w:color w:val="auto"/>
          <w:sz w:val="32"/>
          <w:szCs w:val="32"/>
          <w:highlight w:val="none"/>
          <w:lang w:eastAsia="zh-CN"/>
        </w:rPr>
        <w:t>）</w:t>
      </w:r>
      <w:r>
        <w:rPr>
          <w:rFonts w:hint="eastAsia" w:hAnsi="仿宋" w:eastAsia="仿宋"/>
          <w:color w:val="auto"/>
          <w:sz w:val="32"/>
          <w:szCs w:val="32"/>
          <w:highlight w:val="none"/>
          <w:lang w:val="en-US" w:eastAsia="zh-CN"/>
        </w:rPr>
        <w:t>付款方式：详见比选文件附件合同。</w:t>
      </w:r>
    </w:p>
    <w:p w14:paraId="6E45D781">
      <w:pPr>
        <w:spacing w:line="540" w:lineRule="exact"/>
        <w:ind w:firstLine="640" w:firstLineChars="200"/>
        <w:rPr>
          <w:rFonts w:eastAsia="仿宋"/>
          <w:color w:val="auto"/>
          <w:sz w:val="32"/>
          <w:szCs w:val="32"/>
          <w:highlight w:val="none"/>
        </w:rPr>
      </w:pPr>
      <w:r>
        <w:rPr>
          <w:rFonts w:hAnsi="仿宋" w:eastAsia="仿宋"/>
          <w:color w:val="auto"/>
          <w:sz w:val="32"/>
          <w:szCs w:val="32"/>
          <w:highlight w:val="none"/>
        </w:rPr>
        <w:t>（</w:t>
      </w:r>
      <w:r>
        <w:rPr>
          <w:rFonts w:hint="eastAsia" w:hAnsi="仿宋" w:eastAsia="仿宋"/>
          <w:color w:val="auto"/>
          <w:sz w:val="32"/>
          <w:szCs w:val="32"/>
          <w:highlight w:val="none"/>
        </w:rPr>
        <w:t>五</w:t>
      </w:r>
      <w:r>
        <w:rPr>
          <w:rFonts w:hAnsi="仿宋" w:eastAsia="仿宋"/>
          <w:color w:val="auto"/>
          <w:sz w:val="32"/>
          <w:szCs w:val="32"/>
          <w:highlight w:val="none"/>
        </w:rPr>
        <w:t>）报价文件资料清单</w:t>
      </w:r>
      <w:r>
        <w:rPr>
          <w:rFonts w:hint="eastAsia" w:hAnsi="仿宋" w:eastAsia="仿宋"/>
          <w:b/>
          <w:bCs/>
          <w:color w:val="auto"/>
          <w:sz w:val="32"/>
          <w:szCs w:val="32"/>
          <w:highlight w:val="none"/>
        </w:rPr>
        <w:t>（</w:t>
      </w:r>
      <w:r>
        <w:rPr>
          <w:rFonts w:hint="eastAsia" w:hAnsi="仿宋" w:eastAsia="仿宋"/>
          <w:b/>
          <w:bCs/>
          <w:sz w:val="32"/>
          <w:szCs w:val="32"/>
          <w:highlight w:val="none"/>
        </w:rPr>
        <w:t>报价文件资料须加盖公章</w:t>
      </w:r>
      <w:r>
        <w:rPr>
          <w:rFonts w:hint="eastAsia" w:hAnsi="仿宋" w:eastAsia="仿宋"/>
          <w:b/>
          <w:bCs/>
          <w:color w:val="auto"/>
          <w:sz w:val="32"/>
          <w:szCs w:val="32"/>
          <w:highlight w:val="none"/>
        </w:rPr>
        <w:t>）</w:t>
      </w:r>
    </w:p>
    <w:p w14:paraId="34C87067">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目录</w:t>
      </w:r>
    </w:p>
    <w:p w14:paraId="32B930FC">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第一章、报价人简介；</w:t>
      </w:r>
    </w:p>
    <w:p w14:paraId="228BAA3A">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第二章、营业执照；资质证书；</w:t>
      </w:r>
    </w:p>
    <w:p w14:paraId="71118D72">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第三章、报价函（</w:t>
      </w:r>
      <w:r>
        <w:rPr>
          <w:rFonts w:hint="eastAsia" w:hAnsi="仿宋" w:eastAsia="仿宋"/>
          <w:sz w:val="32"/>
          <w:szCs w:val="32"/>
          <w:highlight w:val="none"/>
          <w:lang w:val="en-US" w:eastAsia="zh-CN"/>
        </w:rPr>
        <w:t>按比选文件附件1报价表格式报价，报下浮系数（≥35%）及暂定总</w:t>
      </w:r>
      <w:r>
        <w:rPr>
          <w:rFonts w:hint="eastAsia" w:hAnsi="仿宋" w:eastAsia="仿宋"/>
          <w:sz w:val="32"/>
          <w:szCs w:val="32"/>
          <w:highlight w:val="none"/>
        </w:rPr>
        <w:t>价，</w:t>
      </w:r>
      <w:r>
        <w:rPr>
          <w:rFonts w:hint="eastAsia" w:hAnsi="仿宋" w:eastAsia="仿宋"/>
          <w:color w:val="auto"/>
          <w:sz w:val="32"/>
          <w:szCs w:val="32"/>
          <w:highlight w:val="none"/>
        </w:rPr>
        <w:t>并附报价单位联系人、联系方式、报价单位开户银行及账号等</w:t>
      </w:r>
      <w:r>
        <w:rPr>
          <w:rFonts w:hint="eastAsia" w:hAnsi="仿宋" w:eastAsia="仿宋"/>
          <w:sz w:val="32"/>
          <w:szCs w:val="32"/>
          <w:highlight w:val="none"/>
        </w:rPr>
        <w:t>）；</w:t>
      </w:r>
    </w:p>
    <w:p w14:paraId="1DB9A788">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第四章、企业</w:t>
      </w:r>
      <w:r>
        <w:rPr>
          <w:rFonts w:hint="eastAsia" w:hAnsi="仿宋" w:eastAsia="仿宋"/>
          <w:sz w:val="32"/>
          <w:szCs w:val="32"/>
          <w:highlight w:val="none"/>
          <w:lang w:val="en-US" w:eastAsia="zh-CN"/>
        </w:rPr>
        <w:t>2023年以来</w:t>
      </w:r>
      <w:r>
        <w:rPr>
          <w:rFonts w:hint="eastAsia" w:hAnsi="仿宋" w:eastAsia="仿宋"/>
          <w:sz w:val="32"/>
          <w:szCs w:val="32"/>
          <w:highlight w:val="none"/>
          <w:lang w:eastAsia="zh-CN"/>
        </w:rPr>
        <w:t>承接的</w:t>
      </w:r>
      <w:r>
        <w:rPr>
          <w:rFonts w:hint="eastAsia" w:hAnsi="仿宋" w:eastAsia="仿宋"/>
          <w:sz w:val="32"/>
          <w:szCs w:val="32"/>
          <w:highlight w:val="none"/>
          <w:lang w:val="en-US" w:eastAsia="zh-CN"/>
        </w:rPr>
        <w:t>类似</w:t>
      </w:r>
      <w:r>
        <w:rPr>
          <w:rFonts w:hint="eastAsia" w:hAnsi="仿宋" w:eastAsia="仿宋"/>
          <w:sz w:val="32"/>
          <w:szCs w:val="32"/>
          <w:highlight w:val="none"/>
        </w:rPr>
        <w:t>监理项目一览表（</w:t>
      </w:r>
      <w:r>
        <w:rPr>
          <w:rFonts w:hint="eastAsia" w:ascii="Calibri" w:hAnsi="仿宋" w:eastAsia="仿宋"/>
          <w:color w:val="auto"/>
          <w:sz w:val="32"/>
          <w:szCs w:val="32"/>
          <w:highlight w:val="none"/>
          <w:lang w:eastAsia="zh-CN"/>
        </w:rPr>
        <w:t>一览表后</w:t>
      </w:r>
      <w:r>
        <w:rPr>
          <w:rFonts w:hint="eastAsia" w:ascii="Calibri" w:hAnsi="仿宋" w:eastAsia="仿宋"/>
          <w:color w:val="auto"/>
          <w:sz w:val="32"/>
          <w:szCs w:val="32"/>
          <w:highlight w:val="none"/>
        </w:rPr>
        <w:t>附</w:t>
      </w:r>
      <w:r>
        <w:rPr>
          <w:rFonts w:hint="eastAsia" w:ascii="Calibri" w:hAnsi="仿宋" w:eastAsia="仿宋"/>
          <w:color w:val="auto"/>
          <w:sz w:val="32"/>
          <w:szCs w:val="32"/>
          <w:highlight w:val="none"/>
          <w:lang w:eastAsia="zh-CN"/>
        </w:rPr>
        <w:t>合同扫描件</w:t>
      </w:r>
      <w:r>
        <w:rPr>
          <w:rFonts w:hint="eastAsia" w:hAnsi="仿宋" w:eastAsia="仿宋"/>
          <w:sz w:val="32"/>
          <w:szCs w:val="32"/>
          <w:highlight w:val="none"/>
        </w:rPr>
        <w:t>）；</w:t>
      </w:r>
    </w:p>
    <w:p w14:paraId="45159BC6">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第五章、监理大纲</w:t>
      </w:r>
      <w:r>
        <w:rPr>
          <w:rFonts w:hint="eastAsia" w:eastAsia="仿宋"/>
          <w:sz w:val="32"/>
          <w:szCs w:val="32"/>
          <w:highlight w:val="none"/>
        </w:rPr>
        <w:t>(包含工程特点难点分析及监理对策、质量控制重点及监理措施、进度控制重点及监理措施、造价控制重点及监理措施、合同及信息管理措施、监理工作协调措施、环境保护及文明施工监理措施、履行安全职责措施等）</w:t>
      </w:r>
      <w:r>
        <w:rPr>
          <w:rFonts w:hint="eastAsia" w:hAnsi="仿宋" w:eastAsia="仿宋"/>
          <w:sz w:val="32"/>
          <w:szCs w:val="32"/>
          <w:highlight w:val="none"/>
        </w:rPr>
        <w:t>；</w:t>
      </w:r>
    </w:p>
    <w:p w14:paraId="60420654">
      <w:pPr>
        <w:spacing w:line="540" w:lineRule="exact"/>
        <w:ind w:firstLine="640" w:firstLineChars="200"/>
        <w:rPr>
          <w:rFonts w:hint="eastAsia" w:hAnsi="仿宋" w:eastAsia="仿宋"/>
          <w:sz w:val="32"/>
          <w:szCs w:val="32"/>
          <w:highlight w:val="none"/>
        </w:rPr>
      </w:pPr>
      <w:r>
        <w:rPr>
          <w:rFonts w:hint="eastAsia" w:hAnsi="仿宋" w:eastAsia="仿宋"/>
          <w:sz w:val="32"/>
          <w:szCs w:val="32"/>
          <w:highlight w:val="none"/>
        </w:rPr>
        <w:t>第六章、</w:t>
      </w:r>
      <w:r>
        <w:rPr>
          <w:rFonts w:hint="eastAsia" w:hAnsi="仿宋" w:eastAsia="仿宋"/>
          <w:color w:val="auto"/>
          <w:sz w:val="32"/>
          <w:szCs w:val="32"/>
          <w:highlight w:val="none"/>
        </w:rPr>
        <w:t>拟投入本项目人员情况一览表，在一览表中注明人员姓名、年龄、担任职务、职称（执业）证书等</w:t>
      </w:r>
      <w:r>
        <w:rPr>
          <w:rFonts w:hint="eastAsia" w:hAnsi="仿宋" w:eastAsia="仿宋"/>
          <w:color w:val="auto"/>
          <w:sz w:val="32"/>
          <w:szCs w:val="32"/>
          <w:highlight w:val="none"/>
          <w:lang w:eastAsia="zh-CN"/>
        </w:rPr>
        <w:t>，</w:t>
      </w:r>
      <w:r>
        <w:rPr>
          <w:rFonts w:hint="eastAsia" w:hAnsi="仿宋" w:eastAsia="仿宋"/>
          <w:sz w:val="32"/>
          <w:szCs w:val="32"/>
          <w:highlight w:val="none"/>
        </w:rPr>
        <w:t>拟派总监理工程师须具备市政公用工程专业国家注册监理工程师执业资格</w:t>
      </w:r>
      <w:r>
        <w:rPr>
          <w:rFonts w:hint="eastAsia" w:hAnsi="仿宋" w:eastAsia="仿宋"/>
          <w:sz w:val="32"/>
          <w:szCs w:val="32"/>
          <w:highlight w:val="none"/>
          <w:lang w:eastAsia="zh-CN"/>
        </w:rPr>
        <w:t>。</w:t>
      </w:r>
      <w:r>
        <w:rPr>
          <w:rFonts w:hint="eastAsia" w:hAnsi="仿宋" w:eastAsia="仿宋"/>
          <w:color w:val="auto"/>
          <w:sz w:val="32"/>
          <w:szCs w:val="32"/>
          <w:highlight w:val="none"/>
        </w:rPr>
        <w:t>（一览表后附人员相关证书扫描件及近三个月（202</w:t>
      </w:r>
      <w:r>
        <w:rPr>
          <w:rFonts w:hint="eastAsia" w:hAnsi="仿宋" w:eastAsia="仿宋"/>
          <w:color w:val="auto"/>
          <w:sz w:val="32"/>
          <w:szCs w:val="32"/>
          <w:highlight w:val="none"/>
          <w:lang w:val="en-US" w:eastAsia="zh-CN"/>
        </w:rPr>
        <w:t>6</w:t>
      </w:r>
      <w:r>
        <w:rPr>
          <w:rFonts w:hint="eastAsia" w:hAnsi="仿宋" w:eastAsia="仿宋"/>
          <w:color w:val="auto"/>
          <w:sz w:val="32"/>
          <w:szCs w:val="32"/>
          <w:highlight w:val="none"/>
        </w:rPr>
        <w:t>年</w:t>
      </w:r>
      <w:r>
        <w:rPr>
          <w:rFonts w:hint="eastAsia" w:hAnsi="仿宋" w:eastAsia="仿宋"/>
          <w:color w:val="auto"/>
          <w:sz w:val="32"/>
          <w:szCs w:val="32"/>
          <w:highlight w:val="none"/>
          <w:lang w:val="en-US" w:eastAsia="zh-CN"/>
        </w:rPr>
        <w:t>1</w:t>
      </w:r>
      <w:r>
        <w:rPr>
          <w:rFonts w:hint="eastAsia" w:hAnsi="仿宋" w:eastAsia="仿宋"/>
          <w:color w:val="auto"/>
          <w:sz w:val="32"/>
          <w:szCs w:val="32"/>
          <w:highlight w:val="none"/>
        </w:rPr>
        <w:t>月—</w:t>
      </w:r>
      <w:r>
        <w:rPr>
          <w:rFonts w:hint="eastAsia" w:hAnsi="仿宋" w:eastAsia="仿宋"/>
          <w:color w:val="auto"/>
          <w:sz w:val="32"/>
          <w:szCs w:val="32"/>
          <w:highlight w:val="none"/>
          <w:lang w:val="en-US" w:eastAsia="zh-CN"/>
        </w:rPr>
        <w:t xml:space="preserve"> 2026年3</w:t>
      </w:r>
      <w:r>
        <w:rPr>
          <w:rFonts w:hint="eastAsia" w:hAnsi="仿宋" w:eastAsia="仿宋"/>
          <w:color w:val="auto"/>
          <w:sz w:val="32"/>
          <w:szCs w:val="32"/>
          <w:highlight w:val="none"/>
        </w:rPr>
        <w:t>月）的社保缴纳证明）</w:t>
      </w:r>
      <w:r>
        <w:rPr>
          <w:rFonts w:hint="eastAsia" w:hAnsi="仿宋" w:eastAsia="仿宋"/>
          <w:sz w:val="32"/>
          <w:szCs w:val="32"/>
          <w:highlight w:val="none"/>
          <w:lang w:eastAsia="zh-CN"/>
        </w:rPr>
        <w:t>。</w:t>
      </w:r>
    </w:p>
    <w:p w14:paraId="3A044B51">
      <w:pPr>
        <w:spacing w:line="540" w:lineRule="exact"/>
        <w:ind w:firstLine="640" w:firstLineChars="200"/>
        <w:rPr>
          <w:rFonts w:hint="eastAsia" w:ascii="黑体" w:hAnsi="黑体" w:eastAsia="仿宋"/>
          <w:color w:val="auto"/>
          <w:sz w:val="32"/>
          <w:szCs w:val="32"/>
          <w:highlight w:val="none"/>
          <w:lang w:eastAsia="zh-CN"/>
        </w:rPr>
      </w:pPr>
      <w:r>
        <w:rPr>
          <w:rFonts w:hint="eastAsia" w:hAnsi="仿宋" w:eastAsia="仿宋"/>
          <w:sz w:val="32"/>
          <w:szCs w:val="32"/>
          <w:highlight w:val="none"/>
        </w:rPr>
        <w:t>第七章、</w:t>
      </w:r>
      <w:r>
        <w:rPr>
          <w:rFonts w:hint="eastAsia" w:eastAsia="仿宋"/>
          <w:sz w:val="32"/>
          <w:szCs w:val="32"/>
          <w:highlight w:val="none"/>
        </w:rPr>
        <w:t>无挂靠承诺书（按比选文件附件2格式响应</w:t>
      </w:r>
      <w:r>
        <w:rPr>
          <w:rFonts w:hint="eastAsia" w:eastAsia="仿宋"/>
          <w:sz w:val="32"/>
          <w:szCs w:val="32"/>
          <w:highlight w:val="none"/>
          <w:lang w:eastAsia="zh-CN"/>
        </w:rPr>
        <w:t>）。</w:t>
      </w:r>
    </w:p>
    <w:p w14:paraId="7DD8EBE6">
      <w:pPr>
        <w:spacing w:line="540" w:lineRule="exact"/>
        <w:ind w:firstLine="640" w:firstLineChars="200"/>
        <w:rPr>
          <w:rFonts w:ascii="黑体" w:hAnsi="黑体" w:eastAsia="黑体"/>
          <w:sz w:val="32"/>
          <w:szCs w:val="32"/>
          <w:highlight w:val="none"/>
        </w:rPr>
      </w:pPr>
      <w:r>
        <w:rPr>
          <w:rFonts w:hint="eastAsia" w:ascii="黑体" w:hAnsi="黑体" w:eastAsia="黑体"/>
          <w:sz w:val="32"/>
          <w:szCs w:val="32"/>
          <w:highlight w:val="none"/>
        </w:rPr>
        <w:t>四</w:t>
      </w:r>
      <w:r>
        <w:rPr>
          <w:rFonts w:ascii="黑体" w:hAnsi="黑体" w:eastAsia="黑体"/>
          <w:sz w:val="32"/>
          <w:szCs w:val="32"/>
          <w:highlight w:val="none"/>
        </w:rPr>
        <w:t>、报价文件报送方式及要求</w:t>
      </w:r>
    </w:p>
    <w:p w14:paraId="4705FE53">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hAnsi="仿宋" w:eastAsia="仿宋"/>
          <w:color w:val="auto"/>
          <w:sz w:val="32"/>
          <w:szCs w:val="32"/>
          <w:highlight w:val="none"/>
        </w:rPr>
      </w:pPr>
      <w:r>
        <w:rPr>
          <w:rFonts w:hint="eastAsia" w:hAnsi="仿宋" w:eastAsia="仿宋"/>
          <w:color w:val="auto"/>
          <w:sz w:val="32"/>
          <w:szCs w:val="32"/>
          <w:highlight w:val="none"/>
        </w:rPr>
        <w:t>报价方式为纸质文件报价，具体要求如下：</w:t>
      </w:r>
    </w:p>
    <w:p w14:paraId="2245F34B">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hAnsi="仿宋" w:eastAsia="仿宋"/>
          <w:color w:val="auto"/>
          <w:sz w:val="32"/>
          <w:szCs w:val="32"/>
          <w:highlight w:val="none"/>
        </w:rPr>
      </w:pPr>
      <w:r>
        <w:rPr>
          <w:rFonts w:hint="eastAsia" w:hAnsi="仿宋" w:eastAsia="仿宋"/>
          <w:color w:val="auto"/>
          <w:sz w:val="32"/>
          <w:szCs w:val="32"/>
          <w:highlight w:val="none"/>
        </w:rPr>
        <w:t>报价文件数量：1正5副（报价文件要求密封于文件袋内）。</w:t>
      </w:r>
    </w:p>
    <w:p w14:paraId="08B50FD3">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eastAsia="仿宋"/>
          <w:color w:val="auto"/>
          <w:sz w:val="32"/>
          <w:szCs w:val="32"/>
          <w:highlight w:val="none"/>
        </w:rPr>
      </w:pPr>
      <w:r>
        <w:rPr>
          <w:rFonts w:hAnsi="仿宋" w:eastAsia="仿宋"/>
          <w:color w:val="auto"/>
          <w:sz w:val="32"/>
          <w:szCs w:val="32"/>
          <w:highlight w:val="none"/>
        </w:rPr>
        <w:t>可选择邮寄或现场递交方式报送（如采用邮寄方式报送，须通过</w:t>
      </w:r>
      <w:r>
        <w:rPr>
          <w:rFonts w:hint="eastAsia" w:hAnsi="仿宋" w:eastAsia="仿宋"/>
          <w:color w:val="auto"/>
          <w:sz w:val="32"/>
          <w:szCs w:val="32"/>
          <w:highlight w:val="none"/>
        </w:rPr>
        <w:t>EMS或顺丰速运邮寄，送达时间不得晚于公告截止时间）。邮寄或送达地址：</w:t>
      </w:r>
      <w:r>
        <w:rPr>
          <w:rFonts w:hint="eastAsia" w:eastAsia="仿宋"/>
          <w:color w:val="auto"/>
          <w:sz w:val="32"/>
          <w:szCs w:val="32"/>
          <w:highlight w:val="none"/>
        </w:rPr>
        <w:t>广西壮族自治区钦州市中马钦州产业园区友谊大道88号中马广场5号写字楼19层。</w:t>
      </w:r>
    </w:p>
    <w:p w14:paraId="1B387F29">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eastAsia="仿宋"/>
          <w:color w:val="auto"/>
          <w:sz w:val="32"/>
          <w:szCs w:val="32"/>
          <w:highlight w:val="none"/>
        </w:rPr>
      </w:pPr>
      <w:r>
        <w:rPr>
          <w:rFonts w:hint="eastAsia" w:eastAsia="仿宋"/>
          <w:color w:val="auto"/>
          <w:sz w:val="32"/>
          <w:szCs w:val="32"/>
          <w:highlight w:val="none"/>
        </w:rPr>
        <w:t>联系人电话：吴雪凝  0777-5988992  15807707776</w:t>
      </w:r>
    </w:p>
    <w:p w14:paraId="525D2B05">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eastAsia="仿宋"/>
          <w:color w:val="auto"/>
          <w:sz w:val="32"/>
          <w:szCs w:val="32"/>
          <w:highlight w:val="none"/>
        </w:rPr>
      </w:pPr>
      <w:r>
        <w:rPr>
          <w:rFonts w:eastAsia="仿宋"/>
          <w:color w:val="auto"/>
          <w:sz w:val="32"/>
          <w:szCs w:val="32"/>
          <w:highlight w:val="none"/>
        </w:rPr>
        <w:t>报价文件我公司一律不予退回。</w:t>
      </w:r>
    </w:p>
    <w:p w14:paraId="3F1486DC">
      <w:pPr>
        <w:spacing w:line="540" w:lineRule="exact"/>
        <w:ind w:firstLine="640" w:firstLineChars="200"/>
        <w:rPr>
          <w:rFonts w:ascii="黑体" w:hAnsi="黑体" w:eastAsia="黑体" w:cstheme="minorBidi"/>
          <w:b w:val="0"/>
          <w:bCs w:val="0"/>
          <w:color w:val="auto"/>
          <w:sz w:val="32"/>
          <w:szCs w:val="32"/>
          <w:highlight w:val="none"/>
        </w:rPr>
      </w:pPr>
      <w:r>
        <w:rPr>
          <w:rFonts w:hint="default" w:ascii="黑体" w:hAnsi="黑体" w:eastAsia="黑体" w:cstheme="minorBidi"/>
          <w:b w:val="0"/>
          <w:bCs w:val="0"/>
          <w:color w:val="auto"/>
          <w:sz w:val="32"/>
          <w:szCs w:val="32"/>
          <w:highlight w:val="none"/>
        </w:rPr>
        <w:t> </w:t>
      </w:r>
      <w:r>
        <w:rPr>
          <w:rFonts w:hint="eastAsia" w:ascii="黑体" w:hAnsi="黑体" w:eastAsia="黑体" w:cstheme="minorBidi"/>
          <w:b w:val="0"/>
          <w:bCs w:val="0"/>
          <w:color w:val="auto"/>
          <w:sz w:val="32"/>
          <w:szCs w:val="32"/>
          <w:highlight w:val="none"/>
          <w:lang w:val="en-US" w:eastAsia="zh-CN"/>
        </w:rPr>
        <w:t>五</w:t>
      </w:r>
      <w:r>
        <w:rPr>
          <w:rFonts w:hint="default" w:ascii="黑体" w:hAnsi="黑体" w:eastAsia="黑体" w:cstheme="minorBidi"/>
          <w:b w:val="0"/>
          <w:bCs w:val="0"/>
          <w:color w:val="auto"/>
          <w:sz w:val="32"/>
          <w:szCs w:val="32"/>
          <w:highlight w:val="none"/>
        </w:rPr>
        <w:t>、评审规则</w:t>
      </w:r>
    </w:p>
    <w:p w14:paraId="0981EE5E">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（一）我公司将结合报价单位的资质条件、业绩及报价等因素，综合择优选定本项目的中选单位。</w:t>
      </w:r>
    </w:p>
    <w:p w14:paraId="30F8C7EF">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（二）如出现下列情况之一，报价文件作无效处理</w:t>
      </w:r>
    </w:p>
    <w:p w14:paraId="46BE51EB">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1.不响应比选文件实质性要求；</w:t>
      </w:r>
    </w:p>
    <w:p w14:paraId="085D3A36">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2.出现两个或两个以上报价；</w:t>
      </w:r>
    </w:p>
    <w:p w14:paraId="4F8A9AEF">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3.报价超出预算控制价的；</w:t>
      </w:r>
    </w:p>
    <w:p w14:paraId="411B5822">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4.报价低于控制价80%的；</w:t>
      </w:r>
    </w:p>
    <w:p w14:paraId="28097019">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5.报价文件报送时间已超过规定截止时间；</w:t>
      </w:r>
    </w:p>
    <w:p w14:paraId="06A75BBE">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6.纸质版报价文件未按要求密封；</w:t>
      </w:r>
    </w:p>
    <w:p w14:paraId="32B4F87D">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7.报价文件资料未加盖公司公章；</w:t>
      </w:r>
    </w:p>
    <w:p w14:paraId="14FD06D9">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8.超出经营范围报价的；</w:t>
      </w:r>
    </w:p>
    <w:p w14:paraId="5F4714F0">
      <w:pPr>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9.存在其他不符合比选文件要求的行为。</w:t>
      </w:r>
    </w:p>
    <w:p w14:paraId="19B7E83A">
      <w:pPr>
        <w:widowControl/>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（三）如出现下列情况之一，报价文件作无效处理，同时列入我公司黑名单。</w:t>
      </w:r>
    </w:p>
    <w:p w14:paraId="4C42719A">
      <w:pPr>
        <w:widowControl/>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1.不同报价人的报价文件由同一单位或者个人编制；</w:t>
      </w:r>
    </w:p>
    <w:p w14:paraId="113A01DC">
      <w:pPr>
        <w:widowControl/>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2.不同报价人委托同一单位或者个人办理报价相关事宜；</w:t>
      </w:r>
    </w:p>
    <w:p w14:paraId="14A5360E">
      <w:pPr>
        <w:widowControl/>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3.不同报价人的报价文件异常一致或者报价呈规律性差异（报价文件异常一致是指极小概率或者完全不可能一致的内容在不同报价文件中出现，比如大面积内容完全雷同、内容错误或打印错误雷同、三处以上内容表述及版面格式完全一致等，需足够的证据证明）；</w:t>
      </w:r>
    </w:p>
    <w:p w14:paraId="12FA07F6">
      <w:pPr>
        <w:widowControl/>
        <w:spacing w:line="54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4.不同报价人的报价文件相互混装；</w:t>
      </w:r>
    </w:p>
    <w:p w14:paraId="0034CE1D">
      <w:pPr>
        <w:widowControl/>
        <w:spacing w:line="540" w:lineRule="exact"/>
        <w:ind w:firstLine="640" w:firstLineChars="200"/>
        <w:jc w:val="left"/>
        <w:rPr>
          <w:rFonts w:ascii="Times New Roman" w:hAnsi="仿宋" w:eastAsia="仿宋"/>
          <w:color w:val="auto"/>
          <w:sz w:val="32"/>
          <w:szCs w:val="32"/>
          <w:highlight w:val="none"/>
        </w:rPr>
      </w:pPr>
      <w:r>
        <w:rPr>
          <w:rFonts w:hint="eastAsia" w:ascii="仿宋" w:hAnsi="仿宋" w:eastAsia="仿宋" w:cs="仿宋"/>
          <w:color w:val="auto"/>
          <w:sz w:val="32"/>
          <w:szCs w:val="32"/>
          <w:highlight w:val="none"/>
        </w:rPr>
        <w:t>5.存在其他违反采购公认原则及规定的行为。</w:t>
      </w:r>
    </w:p>
    <w:p w14:paraId="78B10F37">
      <w:pPr>
        <w:spacing w:line="540" w:lineRule="exact"/>
        <w:ind w:firstLine="640" w:firstLineChars="200"/>
        <w:rPr>
          <w:rFonts w:ascii="黑体" w:hAnsi="黑体" w:eastAsia="黑体" w:cstheme="minorBidi"/>
          <w:color w:val="auto"/>
          <w:sz w:val="32"/>
          <w:szCs w:val="32"/>
          <w:highlight w:val="none"/>
        </w:rPr>
      </w:pPr>
      <w:r>
        <w:rPr>
          <w:rFonts w:hint="eastAsia" w:ascii="黑体" w:hAnsi="黑体" w:eastAsia="黑体" w:cstheme="minorBidi"/>
          <w:b w:val="0"/>
          <w:bCs w:val="0"/>
          <w:color w:val="auto"/>
          <w:sz w:val="32"/>
          <w:szCs w:val="32"/>
          <w:highlight w:val="none"/>
          <w:lang w:val="en-US" w:eastAsia="zh-CN"/>
        </w:rPr>
        <w:t>六</w:t>
      </w:r>
      <w:r>
        <w:rPr>
          <w:rFonts w:hint="default" w:ascii="黑体" w:hAnsi="黑体" w:eastAsia="黑体" w:cstheme="minorBidi"/>
          <w:b w:val="0"/>
          <w:bCs w:val="0"/>
          <w:color w:val="auto"/>
          <w:sz w:val="32"/>
          <w:szCs w:val="32"/>
          <w:highlight w:val="none"/>
        </w:rPr>
        <w:t>、评分办法</w:t>
      </w:r>
    </w:p>
    <w:p w14:paraId="28373B89">
      <w:pPr>
        <w:spacing w:line="540" w:lineRule="exact"/>
        <w:ind w:firstLine="640" w:firstLineChars="200"/>
        <w:rPr>
          <w:rFonts w:eastAsia="仿宋"/>
          <w:sz w:val="32"/>
          <w:szCs w:val="32"/>
        </w:rPr>
      </w:pPr>
      <w:r>
        <w:rPr>
          <w:rFonts w:eastAsia="仿宋"/>
          <w:sz w:val="32"/>
          <w:szCs w:val="32"/>
        </w:rPr>
        <w:t>本项目评审办法采用综合评分法，评委首先对</w:t>
      </w:r>
      <w:r>
        <w:rPr>
          <w:rFonts w:hint="eastAsia" w:eastAsia="仿宋"/>
          <w:sz w:val="32"/>
          <w:szCs w:val="32"/>
        </w:rPr>
        <w:t>报价</w:t>
      </w:r>
      <w:r>
        <w:rPr>
          <w:rFonts w:eastAsia="仿宋"/>
          <w:sz w:val="32"/>
          <w:szCs w:val="32"/>
        </w:rPr>
        <w:t>单位进行资格审查，然后对通过资格审查的</w:t>
      </w:r>
      <w:r>
        <w:rPr>
          <w:rFonts w:hint="eastAsia" w:eastAsia="仿宋"/>
          <w:sz w:val="32"/>
          <w:szCs w:val="32"/>
        </w:rPr>
        <w:t>报价</w:t>
      </w:r>
      <w:r>
        <w:rPr>
          <w:rFonts w:eastAsia="仿宋"/>
          <w:sz w:val="32"/>
          <w:szCs w:val="32"/>
        </w:rPr>
        <w:t>单位的报价、</w:t>
      </w:r>
      <w:r>
        <w:rPr>
          <w:rFonts w:hint="eastAsia" w:eastAsia="仿宋"/>
          <w:sz w:val="32"/>
          <w:szCs w:val="32"/>
        </w:rPr>
        <w:t>业绩</w:t>
      </w:r>
      <w:r>
        <w:rPr>
          <w:rFonts w:eastAsia="仿宋"/>
          <w:sz w:val="32"/>
          <w:szCs w:val="32"/>
        </w:rPr>
        <w:t>等方面按</w:t>
      </w:r>
      <w:r>
        <w:rPr>
          <w:rFonts w:hint="eastAsia" w:eastAsia="仿宋"/>
          <w:b/>
          <w:bCs/>
          <w:sz w:val="32"/>
          <w:szCs w:val="32"/>
        </w:rPr>
        <w:t>百</w:t>
      </w:r>
      <w:r>
        <w:rPr>
          <w:rFonts w:eastAsia="仿宋"/>
          <w:b/>
          <w:bCs/>
          <w:sz w:val="32"/>
          <w:szCs w:val="32"/>
        </w:rPr>
        <w:t>分制</w:t>
      </w:r>
      <w:r>
        <w:rPr>
          <w:rFonts w:eastAsia="仿宋"/>
          <w:sz w:val="32"/>
          <w:szCs w:val="32"/>
        </w:rPr>
        <w:t>进行评分。</w:t>
      </w:r>
    </w:p>
    <w:tbl>
      <w:tblPr>
        <w:tblStyle w:val="14"/>
        <w:tblW w:w="9100" w:type="dxa"/>
        <w:tblInd w:w="-1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967"/>
        <w:gridCol w:w="1593"/>
        <w:gridCol w:w="2867"/>
        <w:gridCol w:w="3043"/>
      </w:tblGrid>
      <w:tr w14:paraId="46F45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9100" w:type="dxa"/>
            <w:gridSpan w:val="5"/>
            <w:noWrap w:val="0"/>
            <w:vAlign w:val="center"/>
          </w:tcPr>
          <w:p w14:paraId="59261837">
            <w:pPr>
              <w:spacing w:line="360" w:lineRule="exact"/>
              <w:jc w:val="center"/>
              <w:rPr>
                <w:rFonts w:ascii="仿宋" w:hAnsi="仿宋" w:eastAsia="仿宋" w:cs="仿宋"/>
                <w:sz w:val="28"/>
                <w:szCs w:val="28"/>
              </w:rPr>
            </w:pPr>
            <w:r>
              <w:rPr>
                <w:rFonts w:hint="eastAsia" w:ascii="仿宋" w:hAnsi="仿宋" w:eastAsia="仿宋" w:cs="仿宋"/>
                <w:sz w:val="28"/>
                <w:szCs w:val="28"/>
              </w:rPr>
              <w:t>商务评分</w:t>
            </w:r>
          </w:p>
        </w:tc>
      </w:tr>
      <w:tr w14:paraId="673BD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trPr>
        <w:tc>
          <w:tcPr>
            <w:tcW w:w="630" w:type="dxa"/>
            <w:noWrap w:val="0"/>
            <w:vAlign w:val="center"/>
          </w:tcPr>
          <w:p w14:paraId="1ACD6159">
            <w:pPr>
              <w:spacing w:line="360" w:lineRule="exact"/>
              <w:jc w:val="center"/>
              <w:rPr>
                <w:rFonts w:ascii="仿宋" w:hAnsi="仿宋" w:eastAsia="仿宋" w:cs="仿宋"/>
                <w:sz w:val="28"/>
                <w:szCs w:val="28"/>
              </w:rPr>
            </w:pPr>
            <w:r>
              <w:rPr>
                <w:rFonts w:hint="eastAsia" w:ascii="仿宋" w:hAnsi="仿宋" w:eastAsia="仿宋" w:cs="仿宋"/>
                <w:sz w:val="28"/>
                <w:szCs w:val="28"/>
              </w:rPr>
              <w:t>序号</w:t>
            </w:r>
          </w:p>
        </w:tc>
        <w:tc>
          <w:tcPr>
            <w:tcW w:w="967" w:type="dxa"/>
            <w:noWrap w:val="0"/>
            <w:vAlign w:val="center"/>
          </w:tcPr>
          <w:p w14:paraId="13F32EC1">
            <w:pPr>
              <w:spacing w:line="360" w:lineRule="exact"/>
              <w:jc w:val="center"/>
              <w:rPr>
                <w:rFonts w:ascii="仿宋" w:hAnsi="仿宋" w:eastAsia="仿宋" w:cs="仿宋"/>
                <w:sz w:val="28"/>
                <w:szCs w:val="28"/>
              </w:rPr>
            </w:pPr>
            <w:r>
              <w:rPr>
                <w:rFonts w:hint="eastAsia" w:ascii="仿宋" w:hAnsi="仿宋" w:eastAsia="仿宋" w:cs="仿宋"/>
                <w:sz w:val="28"/>
                <w:szCs w:val="28"/>
              </w:rPr>
              <w:t>评审项目</w:t>
            </w:r>
          </w:p>
        </w:tc>
        <w:tc>
          <w:tcPr>
            <w:tcW w:w="1593" w:type="dxa"/>
            <w:noWrap w:val="0"/>
            <w:vAlign w:val="center"/>
          </w:tcPr>
          <w:p w14:paraId="4248898B">
            <w:pPr>
              <w:spacing w:line="360" w:lineRule="exact"/>
              <w:jc w:val="center"/>
              <w:rPr>
                <w:rFonts w:ascii="仿宋" w:hAnsi="仿宋" w:eastAsia="仿宋" w:cs="仿宋"/>
                <w:sz w:val="28"/>
                <w:szCs w:val="28"/>
              </w:rPr>
            </w:pPr>
            <w:r>
              <w:rPr>
                <w:rFonts w:hint="eastAsia" w:ascii="仿宋" w:hAnsi="仿宋" w:eastAsia="仿宋" w:cs="仿宋"/>
                <w:sz w:val="28"/>
                <w:szCs w:val="28"/>
              </w:rPr>
              <w:t>权重</w:t>
            </w:r>
          </w:p>
        </w:tc>
        <w:tc>
          <w:tcPr>
            <w:tcW w:w="2867" w:type="dxa"/>
            <w:noWrap w:val="0"/>
            <w:vAlign w:val="center"/>
          </w:tcPr>
          <w:p w14:paraId="2D987A79">
            <w:pPr>
              <w:spacing w:line="360" w:lineRule="exact"/>
              <w:jc w:val="center"/>
              <w:rPr>
                <w:rFonts w:ascii="仿宋" w:hAnsi="仿宋" w:eastAsia="仿宋" w:cs="仿宋"/>
                <w:sz w:val="28"/>
                <w:szCs w:val="28"/>
              </w:rPr>
            </w:pPr>
            <w:r>
              <w:rPr>
                <w:rFonts w:hint="eastAsia" w:ascii="仿宋" w:hAnsi="仿宋" w:eastAsia="仿宋" w:cs="仿宋"/>
                <w:sz w:val="28"/>
                <w:szCs w:val="28"/>
              </w:rPr>
              <w:t>评审依据</w:t>
            </w:r>
          </w:p>
        </w:tc>
        <w:tc>
          <w:tcPr>
            <w:tcW w:w="3043" w:type="dxa"/>
            <w:noWrap w:val="0"/>
            <w:vAlign w:val="center"/>
          </w:tcPr>
          <w:p w14:paraId="5F91D59C">
            <w:pPr>
              <w:spacing w:line="360" w:lineRule="exact"/>
              <w:jc w:val="center"/>
              <w:rPr>
                <w:rFonts w:ascii="仿宋" w:hAnsi="仿宋" w:eastAsia="仿宋" w:cs="仿宋"/>
                <w:sz w:val="28"/>
                <w:szCs w:val="28"/>
              </w:rPr>
            </w:pPr>
            <w:r>
              <w:rPr>
                <w:rFonts w:hint="eastAsia" w:ascii="仿宋" w:hAnsi="仿宋" w:eastAsia="仿宋" w:cs="仿宋"/>
                <w:sz w:val="28"/>
                <w:szCs w:val="28"/>
              </w:rPr>
              <w:t>评分规则</w:t>
            </w:r>
          </w:p>
        </w:tc>
      </w:tr>
      <w:tr w14:paraId="096D7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2" w:hRule="atLeast"/>
        </w:trPr>
        <w:tc>
          <w:tcPr>
            <w:tcW w:w="630" w:type="dxa"/>
            <w:noWrap w:val="0"/>
            <w:vAlign w:val="center"/>
          </w:tcPr>
          <w:p w14:paraId="71C4DC42">
            <w:pPr>
              <w:adjustRightInd w:val="0"/>
              <w:snapToGrid w:val="0"/>
              <w:spacing w:line="340" w:lineRule="exact"/>
              <w:jc w:val="center"/>
              <w:rPr>
                <w:rFonts w:hint="eastAsia" w:ascii="仿宋" w:hAnsi="仿宋" w:eastAsia="仿宋" w:cs="仿宋"/>
                <w:sz w:val="28"/>
                <w:szCs w:val="28"/>
              </w:rPr>
            </w:pPr>
            <w:r>
              <w:rPr>
                <w:rFonts w:hint="eastAsia" w:ascii="仿宋" w:hAnsi="仿宋" w:eastAsia="仿宋" w:cs="仿宋"/>
                <w:sz w:val="28"/>
                <w:szCs w:val="28"/>
              </w:rPr>
              <w:t>1</w:t>
            </w:r>
          </w:p>
        </w:tc>
        <w:tc>
          <w:tcPr>
            <w:tcW w:w="967" w:type="dxa"/>
            <w:noWrap w:val="0"/>
            <w:vAlign w:val="center"/>
          </w:tcPr>
          <w:p w14:paraId="355C26BE">
            <w:pPr>
              <w:adjustRightInd w:val="0"/>
              <w:snapToGrid w:val="0"/>
              <w:spacing w:line="360" w:lineRule="exact"/>
              <w:jc w:val="center"/>
              <w:rPr>
                <w:rFonts w:hint="eastAsia" w:ascii="仿宋" w:hAnsi="仿宋" w:eastAsia="仿宋" w:cs="仿宋"/>
                <w:sz w:val="28"/>
                <w:szCs w:val="28"/>
              </w:rPr>
            </w:pPr>
            <w:r>
              <w:rPr>
                <w:rFonts w:hint="eastAsia" w:ascii="仿宋" w:hAnsi="仿宋" w:eastAsia="仿宋" w:cs="仿宋"/>
                <w:sz w:val="28"/>
                <w:szCs w:val="28"/>
              </w:rPr>
              <w:t>报价</w:t>
            </w:r>
          </w:p>
          <w:p w14:paraId="1B7672E3">
            <w:pPr>
              <w:adjustRightInd w:val="0"/>
              <w:snapToGrid w:val="0"/>
              <w:spacing w:line="360" w:lineRule="exact"/>
              <w:jc w:val="center"/>
              <w:rPr>
                <w:rFonts w:ascii="仿宋" w:hAnsi="仿宋" w:eastAsia="仿宋" w:cs="仿宋"/>
                <w:sz w:val="28"/>
                <w:szCs w:val="28"/>
              </w:rPr>
            </w:pPr>
            <w:r>
              <w:rPr>
                <w:rFonts w:hint="eastAsia" w:ascii="仿宋" w:hAnsi="仿宋" w:eastAsia="仿宋" w:cs="仿宋"/>
                <w:sz w:val="28"/>
                <w:szCs w:val="28"/>
              </w:rPr>
              <w:t>评分</w:t>
            </w:r>
          </w:p>
        </w:tc>
        <w:tc>
          <w:tcPr>
            <w:tcW w:w="1593" w:type="dxa"/>
            <w:noWrap w:val="0"/>
            <w:vAlign w:val="center"/>
          </w:tcPr>
          <w:p w14:paraId="2083EE62">
            <w:pPr>
              <w:adjustRightInd w:val="0"/>
              <w:snapToGrid w:val="0"/>
              <w:spacing w:line="360" w:lineRule="exact"/>
              <w:jc w:val="center"/>
              <w:rPr>
                <w:rFonts w:ascii="仿宋" w:hAnsi="仿宋" w:eastAsia="仿宋" w:cs="仿宋"/>
                <w:sz w:val="28"/>
                <w:szCs w:val="28"/>
              </w:rPr>
            </w:pPr>
            <w:r>
              <w:rPr>
                <w:rFonts w:hint="eastAsia" w:ascii="仿宋" w:hAnsi="仿宋" w:eastAsia="仿宋" w:cs="仿宋"/>
                <w:sz w:val="28"/>
                <w:szCs w:val="28"/>
              </w:rPr>
              <w:t>满分</w:t>
            </w:r>
            <w:r>
              <w:rPr>
                <w:rFonts w:hint="eastAsia" w:ascii="仿宋" w:hAnsi="仿宋" w:eastAsia="仿宋" w:cs="仿宋"/>
                <w:sz w:val="28"/>
                <w:szCs w:val="28"/>
                <w:lang w:val="en-US" w:eastAsia="zh-CN"/>
              </w:rPr>
              <w:t>30</w:t>
            </w:r>
            <w:r>
              <w:rPr>
                <w:rFonts w:hint="eastAsia" w:ascii="仿宋" w:hAnsi="仿宋" w:eastAsia="仿宋" w:cs="仿宋"/>
                <w:sz w:val="28"/>
                <w:szCs w:val="28"/>
              </w:rPr>
              <w:t>分</w:t>
            </w:r>
          </w:p>
        </w:tc>
        <w:tc>
          <w:tcPr>
            <w:tcW w:w="2867" w:type="dxa"/>
            <w:noWrap w:val="0"/>
            <w:vAlign w:val="center"/>
          </w:tcPr>
          <w:p w14:paraId="63D2AF33">
            <w:pPr>
              <w:adjustRightInd w:val="0"/>
              <w:snapToGrid w:val="0"/>
              <w:spacing w:line="360" w:lineRule="exact"/>
              <w:jc w:val="left"/>
              <w:rPr>
                <w:rFonts w:hint="default" w:ascii="仿宋" w:hAnsi="仿宋" w:eastAsia="仿宋" w:cs="仿宋"/>
                <w:sz w:val="28"/>
                <w:szCs w:val="28"/>
                <w:lang w:val="en-US" w:eastAsia="zh-CN"/>
              </w:rPr>
            </w:pPr>
            <w:r>
              <w:rPr>
                <w:rFonts w:hint="eastAsia" w:ascii="仿宋" w:hAnsi="仿宋" w:eastAsia="仿宋" w:cs="仿宋"/>
                <w:sz w:val="28"/>
                <w:szCs w:val="28"/>
              </w:rPr>
              <w:t>供应商报价得分=</w:t>
            </w:r>
            <w:r>
              <w:rPr>
                <w:rFonts w:hint="eastAsia" w:ascii="Times New Roman" w:hAnsi="Times New Roman" w:eastAsia="仿宋"/>
                <w:color w:val="auto"/>
                <w:sz w:val="30"/>
                <w:szCs w:val="30"/>
                <w:lang w:val="en-US" w:eastAsia="zh-CN"/>
              </w:rPr>
              <w:t>（1</w:t>
            </w:r>
            <w:r>
              <w:rPr>
                <w:rFonts w:hint="eastAsia" w:ascii="宋体" w:hAnsi="宋体" w:eastAsia="宋体" w:cs="宋体"/>
                <w:color w:val="auto"/>
                <w:sz w:val="30"/>
                <w:szCs w:val="30"/>
                <w:lang w:val="en-US" w:eastAsia="zh-CN"/>
              </w:rPr>
              <w:t>－</w:t>
            </w:r>
            <w:r>
              <w:rPr>
                <w:rFonts w:hint="eastAsia" w:ascii="Times New Roman" w:hAnsi="Times New Roman" w:eastAsia="仿宋"/>
                <w:color w:val="auto"/>
                <w:sz w:val="30"/>
                <w:szCs w:val="30"/>
                <w:lang w:val="en-US" w:eastAsia="zh-CN"/>
              </w:rPr>
              <w:t>|基准价</w:t>
            </w:r>
            <w:r>
              <w:rPr>
                <w:rFonts w:hint="eastAsia" w:ascii="宋体" w:hAnsi="宋体" w:eastAsia="宋体" w:cs="宋体"/>
                <w:color w:val="auto"/>
                <w:sz w:val="30"/>
                <w:szCs w:val="30"/>
                <w:lang w:val="en-US" w:eastAsia="zh-CN"/>
              </w:rPr>
              <w:t>－</w:t>
            </w:r>
            <w:r>
              <w:rPr>
                <w:rFonts w:hint="eastAsia" w:ascii="Times New Roman" w:hAnsi="Times New Roman" w:eastAsia="仿宋"/>
                <w:color w:val="auto"/>
                <w:sz w:val="30"/>
                <w:szCs w:val="30"/>
                <w:lang w:val="en-US" w:eastAsia="zh-CN"/>
              </w:rPr>
              <w:t>报价|/基准价）</w:t>
            </w:r>
            <w:r>
              <w:rPr>
                <w:rFonts w:hint="eastAsia" w:ascii="Arial" w:hAnsi="Arial" w:eastAsia="仿宋" w:cs="Arial"/>
                <w:color w:val="auto"/>
                <w:sz w:val="30"/>
                <w:szCs w:val="30"/>
                <w:lang w:val="en-US" w:eastAsia="zh-CN"/>
              </w:rPr>
              <w:t>×</w:t>
            </w:r>
            <w:r>
              <w:rPr>
                <w:rFonts w:hint="eastAsia" w:ascii="仿宋" w:hAnsi="仿宋" w:eastAsia="仿宋" w:cs="仿宋"/>
                <w:sz w:val="28"/>
                <w:szCs w:val="28"/>
                <w:lang w:val="en-US" w:eastAsia="zh-CN"/>
              </w:rPr>
              <w:t>30</w:t>
            </w:r>
          </w:p>
          <w:p w14:paraId="13052B68">
            <w:pPr>
              <w:adjustRightInd w:val="0"/>
              <w:snapToGrid w:val="0"/>
              <w:spacing w:line="360" w:lineRule="exact"/>
              <w:jc w:val="left"/>
              <w:rPr>
                <w:rFonts w:ascii="仿宋" w:hAnsi="仿宋" w:eastAsia="仿宋" w:cs="仿宋"/>
                <w:sz w:val="28"/>
                <w:szCs w:val="28"/>
              </w:rPr>
            </w:pPr>
            <w:r>
              <w:rPr>
                <w:rFonts w:hint="eastAsia" w:ascii="仿宋" w:hAnsi="仿宋" w:eastAsia="仿宋" w:cs="仿宋"/>
                <w:sz w:val="28"/>
                <w:szCs w:val="28"/>
              </w:rPr>
              <w:t>注：基准价为所有有效报价的</w:t>
            </w:r>
            <w:r>
              <w:rPr>
                <w:rFonts w:hint="eastAsia" w:ascii="仿宋" w:hAnsi="仿宋" w:eastAsia="仿宋" w:cs="仿宋"/>
                <w:sz w:val="28"/>
                <w:szCs w:val="28"/>
                <w:lang w:val="en-US" w:eastAsia="zh-CN"/>
              </w:rPr>
              <w:t>平均值</w:t>
            </w:r>
            <w:r>
              <w:rPr>
                <w:rFonts w:hint="eastAsia" w:ascii="仿宋" w:hAnsi="仿宋" w:eastAsia="仿宋" w:cs="仿宋"/>
                <w:sz w:val="28"/>
                <w:szCs w:val="28"/>
              </w:rPr>
              <w:t>。</w:t>
            </w:r>
          </w:p>
        </w:tc>
        <w:tc>
          <w:tcPr>
            <w:tcW w:w="3043" w:type="dxa"/>
            <w:noWrap w:val="0"/>
            <w:vAlign w:val="center"/>
          </w:tcPr>
          <w:p w14:paraId="5AA75350">
            <w:pPr>
              <w:adjustRightInd w:val="0"/>
              <w:snapToGrid w:val="0"/>
              <w:spacing w:line="360" w:lineRule="exact"/>
              <w:jc w:val="left"/>
              <w:rPr>
                <w:rFonts w:hint="default" w:ascii="仿宋" w:hAnsi="仿宋" w:eastAsia="仿宋" w:cs="仿宋"/>
                <w:sz w:val="28"/>
                <w:szCs w:val="28"/>
                <w:lang w:val="en-US" w:eastAsia="zh-CN"/>
              </w:rPr>
            </w:pPr>
            <w:r>
              <w:rPr>
                <w:rFonts w:hint="eastAsia" w:ascii="Times New Roman" w:hAnsi="Times New Roman" w:eastAsia="仿宋"/>
                <w:color w:val="auto"/>
                <w:sz w:val="30"/>
                <w:szCs w:val="30"/>
                <w:lang w:val="en-US" w:eastAsia="zh-CN"/>
              </w:rPr>
              <w:t>（1</w:t>
            </w:r>
            <w:r>
              <w:rPr>
                <w:rFonts w:hint="eastAsia" w:ascii="宋体" w:hAnsi="宋体" w:eastAsia="宋体" w:cs="宋体"/>
                <w:color w:val="auto"/>
                <w:sz w:val="30"/>
                <w:szCs w:val="30"/>
                <w:lang w:val="en-US" w:eastAsia="zh-CN"/>
              </w:rPr>
              <w:t>－</w:t>
            </w:r>
            <w:r>
              <w:rPr>
                <w:rFonts w:hint="eastAsia" w:ascii="Times New Roman" w:hAnsi="Times New Roman" w:eastAsia="仿宋"/>
                <w:color w:val="auto"/>
                <w:sz w:val="30"/>
                <w:szCs w:val="30"/>
                <w:lang w:val="en-US" w:eastAsia="zh-CN"/>
              </w:rPr>
              <w:t>|基准价</w:t>
            </w:r>
            <w:r>
              <w:rPr>
                <w:rFonts w:hint="eastAsia" w:ascii="宋体" w:hAnsi="宋体" w:eastAsia="宋体" w:cs="宋体"/>
                <w:color w:val="auto"/>
                <w:sz w:val="30"/>
                <w:szCs w:val="30"/>
                <w:lang w:val="en-US" w:eastAsia="zh-CN"/>
              </w:rPr>
              <w:t>－</w:t>
            </w:r>
            <w:r>
              <w:rPr>
                <w:rFonts w:hint="eastAsia" w:ascii="Times New Roman" w:hAnsi="Times New Roman" w:eastAsia="仿宋"/>
                <w:color w:val="auto"/>
                <w:sz w:val="30"/>
                <w:szCs w:val="30"/>
                <w:lang w:val="en-US" w:eastAsia="zh-CN"/>
              </w:rPr>
              <w:t>报价|/基准价）</w:t>
            </w:r>
            <w:r>
              <w:rPr>
                <w:rFonts w:hint="eastAsia" w:ascii="Arial" w:hAnsi="Arial" w:eastAsia="仿宋" w:cs="Arial"/>
                <w:color w:val="auto"/>
                <w:sz w:val="30"/>
                <w:szCs w:val="30"/>
                <w:lang w:val="en-US" w:eastAsia="zh-CN"/>
              </w:rPr>
              <w:t>×</w:t>
            </w:r>
            <w:r>
              <w:rPr>
                <w:rFonts w:hint="eastAsia" w:ascii="仿宋" w:hAnsi="仿宋" w:eastAsia="仿宋" w:cs="仿宋"/>
                <w:sz w:val="28"/>
                <w:szCs w:val="28"/>
                <w:lang w:val="en-US" w:eastAsia="zh-CN"/>
              </w:rPr>
              <w:t>30</w:t>
            </w:r>
          </w:p>
          <w:p w14:paraId="0425E260">
            <w:pPr>
              <w:adjustRightInd w:val="0"/>
              <w:snapToGrid w:val="0"/>
              <w:spacing w:line="360" w:lineRule="exact"/>
              <w:jc w:val="left"/>
              <w:rPr>
                <w:rFonts w:ascii="仿宋" w:hAnsi="仿宋" w:eastAsia="仿宋" w:cs="仿宋"/>
                <w:sz w:val="28"/>
                <w:szCs w:val="28"/>
              </w:rPr>
            </w:pPr>
            <w:r>
              <w:rPr>
                <w:rFonts w:hint="eastAsia" w:ascii="仿宋" w:hAnsi="仿宋" w:eastAsia="仿宋" w:cs="仿宋"/>
                <w:sz w:val="28"/>
                <w:szCs w:val="28"/>
              </w:rPr>
              <w:t>=供应商报价得分</w:t>
            </w:r>
          </w:p>
          <w:p w14:paraId="60B2611D">
            <w:pPr>
              <w:adjustRightInd w:val="0"/>
              <w:snapToGrid w:val="0"/>
              <w:spacing w:line="320" w:lineRule="exact"/>
              <w:jc w:val="left"/>
              <w:rPr>
                <w:rFonts w:ascii="仿宋" w:hAnsi="仿宋" w:eastAsia="仿宋" w:cs="仿宋"/>
                <w:sz w:val="28"/>
                <w:szCs w:val="28"/>
              </w:rPr>
            </w:pPr>
          </w:p>
        </w:tc>
      </w:tr>
      <w:tr w14:paraId="341BD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4" w:hRule="atLeast"/>
        </w:trPr>
        <w:tc>
          <w:tcPr>
            <w:tcW w:w="630" w:type="dxa"/>
            <w:noWrap w:val="0"/>
            <w:vAlign w:val="center"/>
          </w:tcPr>
          <w:p w14:paraId="47665975">
            <w:pPr>
              <w:adjustRightInd w:val="0"/>
              <w:snapToGrid w:val="0"/>
              <w:spacing w:line="340" w:lineRule="exact"/>
              <w:jc w:val="center"/>
              <w:rPr>
                <w:rFonts w:hint="eastAsia" w:ascii="仿宋" w:hAnsi="仿宋" w:eastAsia="仿宋" w:cs="仿宋"/>
                <w:sz w:val="28"/>
                <w:szCs w:val="28"/>
              </w:rPr>
            </w:pPr>
            <w:r>
              <w:rPr>
                <w:rFonts w:hint="eastAsia" w:ascii="仿宋" w:hAnsi="仿宋" w:eastAsia="仿宋" w:cs="仿宋"/>
                <w:sz w:val="28"/>
                <w:szCs w:val="28"/>
              </w:rPr>
              <w:t>2</w:t>
            </w:r>
          </w:p>
        </w:tc>
        <w:tc>
          <w:tcPr>
            <w:tcW w:w="967" w:type="dxa"/>
            <w:noWrap w:val="0"/>
            <w:vAlign w:val="center"/>
          </w:tcPr>
          <w:p w14:paraId="271D8238">
            <w:pPr>
              <w:adjustRightInd w:val="0"/>
              <w:snapToGrid w:val="0"/>
              <w:spacing w:line="360" w:lineRule="exact"/>
              <w:jc w:val="center"/>
              <w:rPr>
                <w:rFonts w:ascii="仿宋" w:hAnsi="仿宋" w:eastAsia="仿宋" w:cs="仿宋"/>
                <w:sz w:val="28"/>
                <w:szCs w:val="28"/>
              </w:rPr>
            </w:pPr>
            <w:r>
              <w:rPr>
                <w:rFonts w:hint="eastAsia" w:ascii="仿宋" w:hAnsi="仿宋" w:eastAsia="仿宋" w:cs="仿宋"/>
                <w:sz w:val="28"/>
                <w:szCs w:val="28"/>
              </w:rPr>
              <w:t>业绩</w:t>
            </w:r>
          </w:p>
        </w:tc>
        <w:tc>
          <w:tcPr>
            <w:tcW w:w="1593" w:type="dxa"/>
            <w:noWrap w:val="0"/>
            <w:vAlign w:val="center"/>
          </w:tcPr>
          <w:p w14:paraId="5A6EA4DD">
            <w:pPr>
              <w:adjustRightInd w:val="0"/>
              <w:snapToGrid w:val="0"/>
              <w:spacing w:line="360" w:lineRule="exact"/>
              <w:jc w:val="center"/>
              <w:rPr>
                <w:rFonts w:ascii="仿宋" w:hAnsi="仿宋" w:eastAsia="仿宋" w:cs="仿宋"/>
                <w:sz w:val="28"/>
                <w:szCs w:val="28"/>
              </w:rPr>
            </w:pPr>
            <w:r>
              <w:rPr>
                <w:rFonts w:hint="eastAsia" w:ascii="仿宋" w:hAnsi="仿宋" w:eastAsia="仿宋" w:cs="仿宋"/>
                <w:sz w:val="28"/>
                <w:szCs w:val="28"/>
              </w:rPr>
              <w:t>满分20分</w:t>
            </w:r>
          </w:p>
        </w:tc>
        <w:tc>
          <w:tcPr>
            <w:tcW w:w="2867" w:type="dxa"/>
            <w:noWrap w:val="0"/>
            <w:vAlign w:val="center"/>
          </w:tcPr>
          <w:p w14:paraId="0761A43C">
            <w:pPr>
              <w:adjustRightInd w:val="0"/>
              <w:snapToGrid w:val="0"/>
              <w:spacing w:line="360" w:lineRule="exact"/>
              <w:jc w:val="left"/>
              <w:rPr>
                <w:rFonts w:ascii="仿宋" w:hAnsi="仿宋" w:eastAsia="仿宋" w:cs="仿宋"/>
                <w:sz w:val="28"/>
                <w:szCs w:val="28"/>
              </w:rPr>
            </w:pPr>
            <w:r>
              <w:rPr>
                <w:rFonts w:hint="eastAsia" w:ascii="仿宋" w:hAnsi="仿宋" w:eastAsia="仿宋" w:cs="仿宋"/>
                <w:color w:val="auto"/>
                <w:sz w:val="28"/>
                <w:szCs w:val="28"/>
                <w:highlight w:val="none"/>
              </w:rPr>
              <w:t>根据所附业绩合同数量及合同金额、项目规模大小、与比选项目的匹配程度等方面进行横向对比评审，评审按五个档进行</w:t>
            </w:r>
            <w:r>
              <w:rPr>
                <w:rFonts w:hint="eastAsia" w:ascii="仿宋" w:hAnsi="仿宋" w:eastAsia="仿宋" w:cs="仿宋"/>
                <w:sz w:val="28"/>
                <w:szCs w:val="28"/>
              </w:rPr>
              <w:t>。</w:t>
            </w:r>
          </w:p>
        </w:tc>
        <w:tc>
          <w:tcPr>
            <w:tcW w:w="3043" w:type="dxa"/>
            <w:noWrap w:val="0"/>
            <w:vAlign w:val="center"/>
          </w:tcPr>
          <w:p w14:paraId="37685D55">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1为不合格</w:t>
            </w:r>
          </w:p>
          <w:p w14:paraId="27DAA18C">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（得分为1/5*20）；</w:t>
            </w:r>
          </w:p>
          <w:p w14:paraId="7C11F7D7">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2为合格</w:t>
            </w:r>
          </w:p>
          <w:p w14:paraId="0E4C2EDA">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（得分为2/5*20）；</w:t>
            </w:r>
          </w:p>
          <w:p w14:paraId="76BF5CD5">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3为一般</w:t>
            </w:r>
          </w:p>
          <w:p w14:paraId="65F7F9BE">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（得分为3/5*20）；</w:t>
            </w:r>
          </w:p>
          <w:p w14:paraId="54927D83">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4为良好</w:t>
            </w:r>
          </w:p>
          <w:p w14:paraId="56B1D214">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（得分为4/5*20）；</w:t>
            </w:r>
          </w:p>
          <w:p w14:paraId="3EC5CAF8">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5为优秀</w:t>
            </w:r>
          </w:p>
          <w:p w14:paraId="75EB33E6">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（得分为5/5*20）。</w:t>
            </w:r>
          </w:p>
        </w:tc>
      </w:tr>
      <w:tr w14:paraId="2B74C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9100" w:type="dxa"/>
            <w:gridSpan w:val="5"/>
            <w:noWrap w:val="0"/>
            <w:vAlign w:val="center"/>
          </w:tcPr>
          <w:p w14:paraId="4CF46E27">
            <w:pPr>
              <w:spacing w:line="360" w:lineRule="exact"/>
              <w:jc w:val="center"/>
              <w:rPr>
                <w:rFonts w:ascii="仿宋" w:hAnsi="仿宋" w:eastAsia="仿宋" w:cs="仿宋"/>
                <w:sz w:val="28"/>
                <w:szCs w:val="28"/>
              </w:rPr>
            </w:pPr>
            <w:r>
              <w:rPr>
                <w:rFonts w:hint="eastAsia" w:ascii="仿宋" w:hAnsi="仿宋" w:eastAsia="仿宋" w:cs="仿宋"/>
                <w:sz w:val="28"/>
                <w:szCs w:val="28"/>
              </w:rPr>
              <w:t>技术评分</w:t>
            </w:r>
          </w:p>
        </w:tc>
      </w:tr>
      <w:tr w14:paraId="10DF7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4" w:hRule="atLeast"/>
        </w:trPr>
        <w:tc>
          <w:tcPr>
            <w:tcW w:w="630" w:type="dxa"/>
            <w:noWrap w:val="0"/>
            <w:vAlign w:val="center"/>
          </w:tcPr>
          <w:p w14:paraId="09C77FF9">
            <w:pPr>
              <w:adjustRightInd w:val="0"/>
              <w:snapToGrid w:val="0"/>
              <w:spacing w:line="340" w:lineRule="exact"/>
              <w:jc w:val="center"/>
              <w:rPr>
                <w:rFonts w:ascii="仿宋" w:hAnsi="仿宋" w:eastAsia="仿宋" w:cs="仿宋"/>
                <w:sz w:val="28"/>
                <w:szCs w:val="28"/>
              </w:rPr>
            </w:pPr>
            <w:r>
              <w:rPr>
                <w:rFonts w:hint="eastAsia" w:ascii="仿宋" w:hAnsi="仿宋" w:eastAsia="仿宋" w:cs="仿宋"/>
                <w:sz w:val="28"/>
                <w:szCs w:val="28"/>
              </w:rPr>
              <w:t>3</w:t>
            </w:r>
          </w:p>
        </w:tc>
        <w:tc>
          <w:tcPr>
            <w:tcW w:w="967" w:type="dxa"/>
            <w:noWrap w:val="0"/>
            <w:vAlign w:val="center"/>
          </w:tcPr>
          <w:p w14:paraId="4DA2578B">
            <w:pPr>
              <w:adjustRightInd w:val="0"/>
              <w:snapToGrid w:val="0"/>
              <w:spacing w:line="360" w:lineRule="exact"/>
              <w:jc w:val="center"/>
              <w:rPr>
                <w:rFonts w:hint="eastAsia" w:ascii="仿宋" w:hAnsi="仿宋" w:eastAsia="仿宋" w:cs="仿宋"/>
                <w:sz w:val="28"/>
                <w:szCs w:val="28"/>
                <w:lang w:eastAsia="zh-CN"/>
              </w:rPr>
            </w:pPr>
            <w:r>
              <w:rPr>
                <w:rFonts w:hint="eastAsia" w:ascii="仿宋" w:hAnsi="仿宋" w:eastAsia="仿宋" w:cs="仿宋"/>
                <w:color w:val="auto"/>
                <w:sz w:val="28"/>
                <w:szCs w:val="28"/>
                <w:highlight w:val="none"/>
                <w:lang w:eastAsia="zh-CN"/>
              </w:rPr>
              <w:t>监理大纲</w:t>
            </w:r>
          </w:p>
        </w:tc>
        <w:tc>
          <w:tcPr>
            <w:tcW w:w="1593" w:type="dxa"/>
            <w:noWrap w:val="0"/>
            <w:vAlign w:val="center"/>
          </w:tcPr>
          <w:p w14:paraId="0561A773">
            <w:pPr>
              <w:adjustRightInd w:val="0"/>
              <w:snapToGrid w:val="0"/>
              <w:spacing w:line="360" w:lineRule="exact"/>
              <w:jc w:val="center"/>
              <w:rPr>
                <w:rFonts w:ascii="仿宋" w:hAnsi="仿宋" w:eastAsia="仿宋" w:cs="仿宋"/>
                <w:sz w:val="28"/>
                <w:szCs w:val="28"/>
              </w:rPr>
            </w:pPr>
            <w:r>
              <w:rPr>
                <w:rFonts w:hint="eastAsia" w:ascii="仿宋" w:hAnsi="仿宋" w:eastAsia="仿宋" w:cs="仿宋"/>
                <w:sz w:val="28"/>
                <w:szCs w:val="28"/>
              </w:rPr>
              <w:t>满分</w:t>
            </w:r>
            <w:r>
              <w:rPr>
                <w:rFonts w:hint="eastAsia" w:ascii="仿宋" w:hAnsi="仿宋" w:eastAsia="仿宋" w:cs="仿宋"/>
                <w:sz w:val="28"/>
                <w:szCs w:val="28"/>
                <w:lang w:val="en-US" w:eastAsia="zh-CN"/>
              </w:rPr>
              <w:t>3</w:t>
            </w:r>
            <w:r>
              <w:rPr>
                <w:rFonts w:hint="eastAsia" w:ascii="仿宋" w:hAnsi="仿宋" w:eastAsia="仿宋" w:cs="仿宋"/>
                <w:sz w:val="28"/>
                <w:szCs w:val="28"/>
              </w:rPr>
              <w:t>0分</w:t>
            </w:r>
          </w:p>
        </w:tc>
        <w:tc>
          <w:tcPr>
            <w:tcW w:w="2867" w:type="dxa"/>
            <w:noWrap w:val="0"/>
            <w:vAlign w:val="center"/>
          </w:tcPr>
          <w:p w14:paraId="7DB629A3">
            <w:pPr>
              <w:adjustRightInd w:val="0"/>
              <w:snapToGrid w:val="0"/>
              <w:spacing w:line="360" w:lineRule="exact"/>
              <w:jc w:val="center"/>
              <w:rPr>
                <w:rFonts w:hint="default" w:ascii="仿宋" w:hAnsi="仿宋" w:eastAsia="仿宋" w:cs="仿宋"/>
                <w:sz w:val="28"/>
                <w:szCs w:val="28"/>
                <w:lang w:val="en-US" w:eastAsia="zh-CN"/>
              </w:rPr>
            </w:pPr>
            <w:r>
              <w:rPr>
                <w:rFonts w:hint="eastAsia" w:ascii="仿宋" w:hAnsi="仿宋" w:eastAsia="仿宋" w:cs="仿宋"/>
                <w:color w:val="auto"/>
                <w:sz w:val="28"/>
                <w:szCs w:val="28"/>
                <w:highlight w:val="none"/>
              </w:rPr>
              <w:t>根据各项对策是否合理可行、内容是否齐、各项措施是否合理有效等方面的内容进行横向对比评审，评审按五个档进行</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未提供监理大纲的得0分。</w:t>
            </w:r>
          </w:p>
        </w:tc>
        <w:tc>
          <w:tcPr>
            <w:tcW w:w="3043" w:type="dxa"/>
            <w:noWrap w:val="0"/>
            <w:vAlign w:val="center"/>
          </w:tcPr>
          <w:p w14:paraId="30BE8C3E">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1为不合格</w:t>
            </w:r>
          </w:p>
          <w:p w14:paraId="5CDE3DE7">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（得分为1/5*</w:t>
            </w:r>
            <w:r>
              <w:rPr>
                <w:rFonts w:hint="eastAsia" w:ascii="仿宋" w:hAnsi="仿宋" w:eastAsia="仿宋" w:cs="仿宋"/>
                <w:sz w:val="28"/>
                <w:szCs w:val="28"/>
                <w:lang w:val="en-US" w:eastAsia="zh-CN"/>
              </w:rPr>
              <w:t>3</w:t>
            </w:r>
            <w:r>
              <w:rPr>
                <w:rFonts w:hint="eastAsia" w:ascii="仿宋" w:hAnsi="仿宋" w:eastAsia="仿宋" w:cs="仿宋"/>
                <w:sz w:val="28"/>
                <w:szCs w:val="28"/>
              </w:rPr>
              <w:t>0）；</w:t>
            </w:r>
          </w:p>
          <w:p w14:paraId="64647D83">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2为合格</w:t>
            </w:r>
          </w:p>
          <w:p w14:paraId="779A6C0B">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（得分为2/5*</w:t>
            </w:r>
            <w:r>
              <w:rPr>
                <w:rFonts w:hint="eastAsia" w:ascii="仿宋" w:hAnsi="仿宋" w:eastAsia="仿宋" w:cs="仿宋"/>
                <w:sz w:val="28"/>
                <w:szCs w:val="28"/>
                <w:lang w:val="en-US" w:eastAsia="zh-CN"/>
              </w:rPr>
              <w:t>3</w:t>
            </w:r>
            <w:r>
              <w:rPr>
                <w:rFonts w:hint="eastAsia" w:ascii="仿宋" w:hAnsi="仿宋" w:eastAsia="仿宋" w:cs="仿宋"/>
                <w:sz w:val="28"/>
                <w:szCs w:val="28"/>
              </w:rPr>
              <w:t>0）；</w:t>
            </w:r>
          </w:p>
          <w:p w14:paraId="3221D544">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3为一般</w:t>
            </w:r>
          </w:p>
          <w:p w14:paraId="3FA0FFA4">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（得分为3/5*</w:t>
            </w:r>
            <w:r>
              <w:rPr>
                <w:rFonts w:hint="eastAsia" w:ascii="仿宋" w:hAnsi="仿宋" w:eastAsia="仿宋" w:cs="仿宋"/>
                <w:sz w:val="28"/>
                <w:szCs w:val="28"/>
                <w:lang w:val="en-US" w:eastAsia="zh-CN"/>
              </w:rPr>
              <w:t>3</w:t>
            </w:r>
            <w:r>
              <w:rPr>
                <w:rFonts w:hint="eastAsia" w:ascii="仿宋" w:hAnsi="仿宋" w:eastAsia="仿宋" w:cs="仿宋"/>
                <w:sz w:val="28"/>
                <w:szCs w:val="28"/>
              </w:rPr>
              <w:t>0）；</w:t>
            </w:r>
          </w:p>
          <w:p w14:paraId="76BAEB91">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4为良好</w:t>
            </w:r>
          </w:p>
          <w:p w14:paraId="55513219">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（得分为4/5*</w:t>
            </w:r>
            <w:r>
              <w:rPr>
                <w:rFonts w:hint="eastAsia" w:ascii="仿宋" w:hAnsi="仿宋" w:eastAsia="仿宋" w:cs="仿宋"/>
                <w:sz w:val="28"/>
                <w:szCs w:val="28"/>
                <w:lang w:val="en-US" w:eastAsia="zh-CN"/>
              </w:rPr>
              <w:t>3</w:t>
            </w:r>
            <w:r>
              <w:rPr>
                <w:rFonts w:hint="eastAsia" w:ascii="仿宋" w:hAnsi="仿宋" w:eastAsia="仿宋" w:cs="仿宋"/>
                <w:sz w:val="28"/>
                <w:szCs w:val="28"/>
              </w:rPr>
              <w:t>0）；</w:t>
            </w:r>
          </w:p>
          <w:p w14:paraId="61F7B466">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5为优秀</w:t>
            </w:r>
          </w:p>
          <w:p w14:paraId="552C442A">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（得分为5/5*</w:t>
            </w:r>
            <w:r>
              <w:rPr>
                <w:rFonts w:hint="eastAsia" w:ascii="仿宋" w:hAnsi="仿宋" w:eastAsia="仿宋" w:cs="仿宋"/>
                <w:sz w:val="28"/>
                <w:szCs w:val="28"/>
                <w:lang w:val="en-US" w:eastAsia="zh-CN"/>
              </w:rPr>
              <w:t>3</w:t>
            </w:r>
            <w:r>
              <w:rPr>
                <w:rFonts w:hint="eastAsia" w:ascii="仿宋" w:hAnsi="仿宋" w:eastAsia="仿宋" w:cs="仿宋"/>
                <w:sz w:val="28"/>
                <w:szCs w:val="28"/>
              </w:rPr>
              <w:t>0）。</w:t>
            </w:r>
          </w:p>
        </w:tc>
      </w:tr>
      <w:tr w14:paraId="78579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630" w:type="dxa"/>
            <w:noWrap w:val="0"/>
            <w:vAlign w:val="center"/>
          </w:tcPr>
          <w:p w14:paraId="3FA418B7">
            <w:pPr>
              <w:adjustRightInd w:val="0"/>
              <w:snapToGrid w:val="0"/>
              <w:spacing w:line="340" w:lineRule="exact"/>
              <w:jc w:val="center"/>
              <w:rPr>
                <w:rFonts w:ascii="仿宋" w:hAnsi="仿宋" w:eastAsia="仿宋" w:cs="仿宋"/>
                <w:sz w:val="28"/>
                <w:szCs w:val="28"/>
              </w:rPr>
            </w:pPr>
            <w:r>
              <w:rPr>
                <w:rFonts w:hint="eastAsia" w:ascii="仿宋" w:hAnsi="仿宋" w:eastAsia="仿宋" w:cs="仿宋"/>
                <w:sz w:val="28"/>
                <w:szCs w:val="28"/>
              </w:rPr>
              <w:t>4</w:t>
            </w:r>
          </w:p>
        </w:tc>
        <w:tc>
          <w:tcPr>
            <w:tcW w:w="967" w:type="dxa"/>
            <w:noWrap w:val="0"/>
            <w:vAlign w:val="center"/>
          </w:tcPr>
          <w:p w14:paraId="0B30562E">
            <w:pPr>
              <w:adjustRightInd w:val="0"/>
              <w:snapToGrid w:val="0"/>
              <w:spacing w:line="360" w:lineRule="exact"/>
              <w:jc w:val="center"/>
              <w:rPr>
                <w:rFonts w:ascii="仿宋" w:hAnsi="仿宋" w:eastAsia="仿宋" w:cs="仿宋"/>
                <w:sz w:val="28"/>
                <w:szCs w:val="28"/>
              </w:rPr>
            </w:pPr>
            <w:r>
              <w:rPr>
                <w:rFonts w:hint="eastAsia" w:ascii="仿宋" w:hAnsi="仿宋" w:eastAsia="仿宋" w:cs="仿宋"/>
                <w:sz w:val="28"/>
                <w:szCs w:val="28"/>
              </w:rPr>
              <w:t>人员配置</w:t>
            </w:r>
          </w:p>
        </w:tc>
        <w:tc>
          <w:tcPr>
            <w:tcW w:w="1593" w:type="dxa"/>
            <w:noWrap w:val="0"/>
            <w:vAlign w:val="center"/>
          </w:tcPr>
          <w:p w14:paraId="5B7830EF">
            <w:pPr>
              <w:adjustRightInd w:val="0"/>
              <w:snapToGrid w:val="0"/>
              <w:spacing w:line="360" w:lineRule="exact"/>
              <w:jc w:val="center"/>
              <w:rPr>
                <w:rFonts w:ascii="仿宋" w:hAnsi="仿宋" w:eastAsia="仿宋" w:cs="仿宋"/>
                <w:sz w:val="28"/>
                <w:szCs w:val="28"/>
              </w:rPr>
            </w:pPr>
            <w:r>
              <w:rPr>
                <w:rFonts w:hint="eastAsia" w:ascii="仿宋" w:hAnsi="仿宋" w:eastAsia="仿宋" w:cs="仿宋"/>
                <w:sz w:val="28"/>
                <w:szCs w:val="28"/>
              </w:rPr>
              <w:t>满分</w:t>
            </w:r>
            <w:r>
              <w:rPr>
                <w:rFonts w:hint="eastAsia" w:ascii="仿宋" w:hAnsi="仿宋" w:eastAsia="仿宋" w:cs="仿宋"/>
                <w:sz w:val="28"/>
                <w:szCs w:val="28"/>
                <w:lang w:val="en-US" w:eastAsia="zh-CN"/>
              </w:rPr>
              <w:t>2</w:t>
            </w:r>
            <w:r>
              <w:rPr>
                <w:rFonts w:hint="eastAsia" w:ascii="仿宋" w:hAnsi="仿宋" w:eastAsia="仿宋" w:cs="仿宋"/>
                <w:sz w:val="28"/>
                <w:szCs w:val="28"/>
              </w:rPr>
              <w:t>0分</w:t>
            </w:r>
          </w:p>
        </w:tc>
        <w:tc>
          <w:tcPr>
            <w:tcW w:w="2867" w:type="dxa"/>
            <w:noWrap w:val="0"/>
            <w:vAlign w:val="center"/>
          </w:tcPr>
          <w:p w14:paraId="05097988">
            <w:pPr>
              <w:adjustRightInd w:val="0"/>
              <w:snapToGrid w:val="0"/>
              <w:spacing w:line="360" w:lineRule="exact"/>
              <w:jc w:val="center"/>
              <w:rPr>
                <w:rFonts w:hint="eastAsia" w:ascii="仿宋" w:hAnsi="仿宋" w:eastAsia="仿宋" w:cs="仿宋"/>
                <w:sz w:val="28"/>
                <w:szCs w:val="28"/>
                <w:lang w:eastAsia="zh-CN"/>
              </w:rPr>
            </w:pPr>
            <w:r>
              <w:rPr>
                <w:rFonts w:hint="eastAsia" w:ascii="仿宋" w:hAnsi="仿宋" w:eastAsia="仿宋" w:cs="仿宋"/>
                <w:sz w:val="28"/>
                <w:szCs w:val="28"/>
              </w:rPr>
              <w:t>根据人员配备的合理性、充足性、人员相关专业的齐全性、人员资历、人员资格证书等级等方面进行横向对比评审，评审按五个档进行</w:t>
            </w:r>
            <w:r>
              <w:rPr>
                <w:rFonts w:hint="eastAsia" w:ascii="仿宋" w:hAnsi="仿宋" w:eastAsia="仿宋" w:cs="仿宋"/>
                <w:sz w:val="28"/>
                <w:szCs w:val="28"/>
                <w:lang w:eastAsia="zh-CN"/>
              </w:rPr>
              <w:t>。</w:t>
            </w:r>
          </w:p>
        </w:tc>
        <w:tc>
          <w:tcPr>
            <w:tcW w:w="3043" w:type="dxa"/>
            <w:noWrap w:val="0"/>
            <w:vAlign w:val="center"/>
          </w:tcPr>
          <w:p w14:paraId="2236EC9C">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1为不合格</w:t>
            </w:r>
          </w:p>
          <w:p w14:paraId="6F80D7BA">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（得分为1/5*</w:t>
            </w:r>
            <w:r>
              <w:rPr>
                <w:rFonts w:hint="eastAsia" w:ascii="仿宋" w:hAnsi="仿宋" w:eastAsia="仿宋" w:cs="仿宋"/>
                <w:sz w:val="28"/>
                <w:szCs w:val="28"/>
                <w:lang w:val="en-US" w:eastAsia="zh-CN"/>
              </w:rPr>
              <w:t>2</w:t>
            </w:r>
            <w:r>
              <w:rPr>
                <w:rFonts w:hint="eastAsia" w:ascii="仿宋" w:hAnsi="仿宋" w:eastAsia="仿宋" w:cs="仿宋"/>
                <w:sz w:val="28"/>
                <w:szCs w:val="28"/>
              </w:rPr>
              <w:t>0）；</w:t>
            </w:r>
          </w:p>
          <w:p w14:paraId="7A172302">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2为合格</w:t>
            </w:r>
          </w:p>
          <w:p w14:paraId="3BEB3130">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（得分为2/5*</w:t>
            </w:r>
            <w:r>
              <w:rPr>
                <w:rFonts w:hint="eastAsia" w:ascii="仿宋" w:hAnsi="仿宋" w:eastAsia="仿宋" w:cs="仿宋"/>
                <w:sz w:val="28"/>
                <w:szCs w:val="28"/>
                <w:lang w:val="en-US" w:eastAsia="zh-CN"/>
              </w:rPr>
              <w:t>2</w:t>
            </w:r>
            <w:r>
              <w:rPr>
                <w:rFonts w:hint="eastAsia" w:ascii="仿宋" w:hAnsi="仿宋" w:eastAsia="仿宋" w:cs="仿宋"/>
                <w:sz w:val="28"/>
                <w:szCs w:val="28"/>
              </w:rPr>
              <w:t>0）；</w:t>
            </w:r>
          </w:p>
          <w:p w14:paraId="49FF76C3">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3为一般</w:t>
            </w:r>
          </w:p>
          <w:p w14:paraId="7070C0B8">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（得分为3/5*</w:t>
            </w:r>
            <w:r>
              <w:rPr>
                <w:rFonts w:hint="eastAsia" w:ascii="仿宋" w:hAnsi="仿宋" w:eastAsia="仿宋" w:cs="仿宋"/>
                <w:sz w:val="28"/>
                <w:szCs w:val="28"/>
                <w:lang w:val="en-US" w:eastAsia="zh-CN"/>
              </w:rPr>
              <w:t>2</w:t>
            </w:r>
            <w:r>
              <w:rPr>
                <w:rFonts w:hint="eastAsia" w:ascii="仿宋" w:hAnsi="仿宋" w:eastAsia="仿宋" w:cs="仿宋"/>
                <w:sz w:val="28"/>
                <w:szCs w:val="28"/>
              </w:rPr>
              <w:t>0）；</w:t>
            </w:r>
          </w:p>
          <w:p w14:paraId="3F11D9B8">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4为良好</w:t>
            </w:r>
          </w:p>
          <w:p w14:paraId="6A4B6EE8">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（得分为4/5*</w:t>
            </w:r>
            <w:r>
              <w:rPr>
                <w:rFonts w:hint="eastAsia" w:ascii="仿宋" w:hAnsi="仿宋" w:eastAsia="仿宋" w:cs="仿宋"/>
                <w:sz w:val="28"/>
                <w:szCs w:val="28"/>
                <w:lang w:val="en-US" w:eastAsia="zh-CN"/>
              </w:rPr>
              <w:t>2</w:t>
            </w:r>
            <w:r>
              <w:rPr>
                <w:rFonts w:hint="eastAsia" w:ascii="仿宋" w:hAnsi="仿宋" w:eastAsia="仿宋" w:cs="仿宋"/>
                <w:sz w:val="28"/>
                <w:szCs w:val="28"/>
              </w:rPr>
              <w:t>0）；</w:t>
            </w:r>
          </w:p>
          <w:p w14:paraId="314AEC2C">
            <w:pPr>
              <w:adjustRightInd w:val="0"/>
              <w:snapToGrid w:val="0"/>
              <w:spacing w:line="320" w:lineRule="exact"/>
              <w:rPr>
                <w:rFonts w:ascii="仿宋" w:hAnsi="仿宋" w:eastAsia="仿宋" w:cs="仿宋"/>
                <w:sz w:val="28"/>
                <w:szCs w:val="28"/>
              </w:rPr>
            </w:pPr>
            <w:r>
              <w:rPr>
                <w:rFonts w:hint="eastAsia" w:ascii="仿宋" w:hAnsi="仿宋" w:eastAsia="仿宋" w:cs="仿宋"/>
                <w:sz w:val="28"/>
                <w:szCs w:val="28"/>
              </w:rPr>
              <w:t>5为优秀</w:t>
            </w:r>
          </w:p>
          <w:p w14:paraId="53658448">
            <w:pPr>
              <w:adjustRightInd w:val="0"/>
              <w:snapToGrid w:val="0"/>
              <w:spacing w:line="360" w:lineRule="exact"/>
              <w:rPr>
                <w:rFonts w:hint="eastAsia" w:ascii="仿宋" w:hAnsi="仿宋" w:eastAsia="仿宋" w:cs="仿宋"/>
                <w:sz w:val="28"/>
                <w:szCs w:val="28"/>
              </w:rPr>
            </w:pPr>
            <w:r>
              <w:rPr>
                <w:rFonts w:hint="eastAsia" w:ascii="仿宋" w:hAnsi="仿宋" w:eastAsia="仿宋" w:cs="仿宋"/>
                <w:sz w:val="28"/>
                <w:szCs w:val="28"/>
              </w:rPr>
              <w:t>（得分为5/5*</w:t>
            </w:r>
            <w:r>
              <w:rPr>
                <w:rFonts w:hint="eastAsia" w:ascii="仿宋" w:hAnsi="仿宋" w:eastAsia="仿宋" w:cs="仿宋"/>
                <w:sz w:val="28"/>
                <w:szCs w:val="28"/>
                <w:lang w:val="en-US" w:eastAsia="zh-CN"/>
              </w:rPr>
              <w:t>2</w:t>
            </w:r>
            <w:r>
              <w:rPr>
                <w:rFonts w:hint="eastAsia" w:ascii="仿宋" w:hAnsi="仿宋" w:eastAsia="仿宋" w:cs="仿宋"/>
                <w:sz w:val="28"/>
                <w:szCs w:val="28"/>
              </w:rPr>
              <w:t>0）。</w:t>
            </w:r>
          </w:p>
        </w:tc>
      </w:tr>
    </w:tbl>
    <w:p w14:paraId="6905B177">
      <w:pPr>
        <w:spacing w:line="540" w:lineRule="exact"/>
        <w:ind w:firstLine="640" w:firstLineChars="200"/>
        <w:rPr>
          <w:rFonts w:ascii="黑体" w:hAnsi="黑体" w:eastAsia="黑体" w:cstheme="minorBidi"/>
          <w:b w:val="0"/>
          <w:bCs w:val="0"/>
          <w:color w:val="auto"/>
          <w:sz w:val="32"/>
          <w:szCs w:val="32"/>
          <w:highlight w:val="none"/>
        </w:rPr>
      </w:pPr>
      <w:r>
        <w:rPr>
          <w:rFonts w:hint="eastAsia" w:ascii="黑体" w:hAnsi="黑体" w:eastAsia="黑体" w:cstheme="minorBidi"/>
          <w:b w:val="0"/>
          <w:bCs w:val="0"/>
          <w:color w:val="auto"/>
          <w:sz w:val="32"/>
          <w:szCs w:val="32"/>
          <w:highlight w:val="none"/>
          <w:lang w:val="en-US" w:eastAsia="zh-CN"/>
        </w:rPr>
        <w:t>七</w:t>
      </w:r>
      <w:r>
        <w:rPr>
          <w:rFonts w:hint="default" w:ascii="黑体" w:hAnsi="黑体" w:eastAsia="黑体" w:cstheme="minorBidi"/>
          <w:b w:val="0"/>
          <w:bCs w:val="0"/>
          <w:color w:val="auto"/>
          <w:sz w:val="32"/>
          <w:szCs w:val="32"/>
          <w:highlight w:val="none"/>
        </w:rPr>
        <w:t>、中选候选人推荐原则</w:t>
      </w:r>
    </w:p>
    <w:p w14:paraId="20A3BAE5">
      <w:pPr>
        <w:spacing w:line="540" w:lineRule="exact"/>
        <w:ind w:firstLine="640"/>
        <w:rPr>
          <w:rFonts w:hint="eastAsia" w:ascii="Times New Roman" w:hAnsi="Times New Roman" w:eastAsia="仿宋"/>
          <w:color w:val="auto"/>
          <w:sz w:val="32"/>
          <w:szCs w:val="32"/>
          <w:highlight w:val="none"/>
        </w:rPr>
      </w:pPr>
      <w:r>
        <w:rPr>
          <w:rFonts w:hint="eastAsia" w:ascii="仿宋" w:hAnsi="仿宋" w:eastAsia="仿宋" w:cs="仿宋"/>
          <w:color w:val="auto"/>
          <w:sz w:val="32"/>
          <w:szCs w:val="32"/>
          <w:highlight w:val="none"/>
        </w:rPr>
        <w:t>我公司招采人员按比选公告、文件的要求，拟定综合评分表、评审报告。</w:t>
      </w:r>
      <w:r>
        <w:rPr>
          <w:rFonts w:hint="eastAsia" w:ascii="Times New Roman" w:hAnsi="仿宋" w:eastAsia="仿宋"/>
          <w:color w:val="auto"/>
          <w:sz w:val="32"/>
          <w:szCs w:val="32"/>
          <w:highlight w:val="none"/>
        </w:rPr>
        <w:t>评审表标明报价单位的报价、对评审中各分项得分的统计和说明。经评审综合总得分最高者为第一中选候选人，总得分第二高者为第二中选候选人，总得分第三高者为第三中选候选人。第一中选候选人确定为中选人（按评审后得分由高到低顺序排列；得分相同的，按报价由低到高顺序排列；得分且报价相同的，按技术指标优劣顺序由参与评审人员投票确定）。因中选候选人放弃或者因不可抗力的提出不能履行合同时，采购人依序确定其他中选候选人为中选人。</w:t>
      </w:r>
    </w:p>
    <w:p w14:paraId="52CEC9E1">
      <w:pPr>
        <w:spacing w:line="540" w:lineRule="exact"/>
        <w:ind w:firstLine="640"/>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附件：</w:t>
      </w:r>
      <w:r>
        <w:rPr>
          <w:rFonts w:hint="eastAsia" w:ascii="Times New Roman" w:hAnsi="Times New Roman" w:eastAsia="仿宋"/>
          <w:color w:val="auto"/>
          <w:sz w:val="32"/>
          <w:szCs w:val="32"/>
          <w:highlight w:val="none"/>
          <w:lang w:val="en-US" w:eastAsia="zh-CN"/>
        </w:rPr>
        <w:t>1.</w:t>
      </w:r>
      <w:r>
        <w:rPr>
          <w:rFonts w:hint="eastAsia" w:ascii="Times New Roman" w:hAnsi="Times New Roman" w:eastAsia="仿宋"/>
          <w:color w:val="auto"/>
          <w:sz w:val="32"/>
          <w:szCs w:val="32"/>
          <w:highlight w:val="none"/>
        </w:rPr>
        <w:t>报价表</w:t>
      </w:r>
    </w:p>
    <w:p w14:paraId="3A828264">
      <w:pPr>
        <w:spacing w:line="540" w:lineRule="exact"/>
        <w:ind w:firstLine="1609" w:firstLineChars="503"/>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2</w:t>
      </w:r>
      <w:r>
        <w:rPr>
          <w:rFonts w:hint="eastAsia" w:ascii="Times New Roman" w:hAnsi="Times New Roman" w:eastAsia="仿宋"/>
          <w:color w:val="auto"/>
          <w:sz w:val="32"/>
          <w:szCs w:val="32"/>
          <w:highlight w:val="none"/>
          <w:lang w:val="en-US" w:eastAsia="zh-CN"/>
        </w:rPr>
        <w:t>.</w:t>
      </w:r>
      <w:r>
        <w:rPr>
          <w:rFonts w:hint="eastAsia" w:ascii="Times New Roman" w:hAnsi="Times New Roman" w:eastAsia="仿宋"/>
          <w:color w:val="auto"/>
          <w:sz w:val="32"/>
          <w:szCs w:val="32"/>
          <w:highlight w:val="none"/>
        </w:rPr>
        <w:t>无挂靠承诺书</w:t>
      </w:r>
    </w:p>
    <w:p w14:paraId="510AA74B">
      <w:pPr>
        <w:spacing w:line="540" w:lineRule="exact"/>
        <w:ind w:firstLine="1609" w:firstLineChars="503"/>
        <w:rPr>
          <w:rFonts w:hint="eastAsia"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3</w:t>
      </w:r>
      <w:r>
        <w:rPr>
          <w:rFonts w:hint="eastAsia" w:ascii="Times New Roman" w:hAnsi="Times New Roman" w:eastAsia="仿宋"/>
          <w:color w:val="auto"/>
          <w:sz w:val="32"/>
          <w:szCs w:val="32"/>
          <w:highlight w:val="none"/>
          <w:lang w:val="en-US" w:eastAsia="zh-CN"/>
        </w:rPr>
        <w:t>.中国—马来西亚钦州产业园区马淑路（东段）工程二标段工程监理</w:t>
      </w:r>
      <w:r>
        <w:rPr>
          <w:rFonts w:hint="eastAsia" w:ascii="Times New Roman" w:hAnsi="Times New Roman" w:eastAsia="仿宋"/>
          <w:color w:val="auto"/>
          <w:sz w:val="32"/>
          <w:szCs w:val="32"/>
          <w:highlight w:val="none"/>
        </w:rPr>
        <w:t>合同</w:t>
      </w:r>
    </w:p>
    <w:p w14:paraId="346ACF6E">
      <w:pPr>
        <w:spacing w:line="540" w:lineRule="exact"/>
        <w:ind w:firstLine="0" w:firstLineChars="0"/>
        <w:rPr>
          <w:rFonts w:ascii="仿宋" w:hAnsi="仿宋" w:eastAsia="仿宋" w:cs="仿宋"/>
          <w:color w:val="auto"/>
          <w:sz w:val="32"/>
          <w:szCs w:val="32"/>
          <w:highlight w:val="none"/>
        </w:rPr>
      </w:pPr>
    </w:p>
    <w:p w14:paraId="12213062">
      <w:pPr>
        <w:spacing w:line="540" w:lineRule="exact"/>
        <w:ind w:firstLine="640" w:firstLineChars="200"/>
        <w:jc w:val="right"/>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广西</w:t>
      </w:r>
      <w:r>
        <w:rPr>
          <w:rFonts w:hint="eastAsia" w:ascii="仿宋" w:hAnsi="仿宋" w:eastAsia="仿宋" w:cs="仿宋"/>
          <w:color w:val="auto"/>
          <w:sz w:val="32"/>
          <w:szCs w:val="32"/>
          <w:highlight w:val="none"/>
          <w:lang w:val="en-US" w:eastAsia="zh-CN"/>
        </w:rPr>
        <w:t>中马钦州产业园区</w:t>
      </w:r>
      <w:r>
        <w:rPr>
          <w:rFonts w:hint="eastAsia" w:ascii="仿宋" w:hAnsi="仿宋" w:eastAsia="仿宋" w:cs="仿宋"/>
          <w:color w:val="auto"/>
          <w:sz w:val="32"/>
          <w:szCs w:val="32"/>
          <w:highlight w:val="none"/>
        </w:rPr>
        <w:t>开发有限公司</w:t>
      </w:r>
    </w:p>
    <w:p w14:paraId="6753F364">
      <w:pPr>
        <w:spacing w:line="540" w:lineRule="exact"/>
        <w:ind w:firstLine="5120" w:firstLineChars="16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20</w:t>
      </w:r>
      <w:r>
        <w:rPr>
          <w:rFonts w:ascii="仿宋" w:hAnsi="仿宋" w:eastAsia="仿宋" w:cs="仿宋"/>
          <w:color w:val="auto"/>
          <w:sz w:val="32"/>
          <w:szCs w:val="32"/>
          <w:highlight w:val="none"/>
        </w:rPr>
        <w:t>2</w:t>
      </w:r>
      <w:r>
        <w:rPr>
          <w:rFonts w:hint="eastAsia" w:ascii="仿宋" w:hAnsi="仿宋" w:eastAsia="仿宋" w:cs="仿宋"/>
          <w:color w:val="auto"/>
          <w:sz w:val="32"/>
          <w:szCs w:val="32"/>
          <w:highlight w:val="none"/>
          <w:lang w:val="en-US" w:eastAsia="zh-CN"/>
        </w:rPr>
        <w:t>6</w:t>
      </w:r>
      <w:r>
        <w:rPr>
          <w:rFonts w:hint="eastAsia" w:ascii="仿宋" w:hAnsi="仿宋" w:eastAsia="仿宋" w:cs="仿宋"/>
          <w:color w:val="auto"/>
          <w:sz w:val="32"/>
          <w:szCs w:val="32"/>
          <w:highlight w:val="none"/>
        </w:rPr>
        <w:t xml:space="preserve">年 </w:t>
      </w:r>
      <w:r>
        <w:rPr>
          <w:rFonts w:hint="eastAsia" w:ascii="仿宋" w:hAnsi="仿宋" w:eastAsia="仿宋" w:cs="仿宋"/>
          <w:color w:val="auto"/>
          <w:sz w:val="32"/>
          <w:szCs w:val="32"/>
          <w:highlight w:val="none"/>
          <w:lang w:val="en-US" w:eastAsia="zh-CN"/>
        </w:rPr>
        <w:t>4</w:t>
      </w:r>
      <w:r>
        <w:rPr>
          <w:rFonts w:hint="eastAsia" w:ascii="仿宋" w:hAnsi="仿宋" w:eastAsia="仿宋" w:cs="仿宋"/>
          <w:color w:val="auto"/>
          <w:sz w:val="32"/>
          <w:szCs w:val="32"/>
          <w:highlight w:val="none"/>
        </w:rPr>
        <w:t>月</w:t>
      </w:r>
      <w:r>
        <w:rPr>
          <w:rFonts w:hint="eastAsia" w:ascii="仿宋" w:hAnsi="仿宋" w:eastAsia="仿宋" w:cs="仿宋"/>
          <w:color w:val="auto"/>
          <w:sz w:val="32"/>
          <w:szCs w:val="32"/>
          <w:highlight w:val="none"/>
          <w:lang w:val="en-US" w:eastAsia="zh-CN"/>
        </w:rPr>
        <w:t>28</w:t>
      </w:r>
      <w:r>
        <w:rPr>
          <w:rFonts w:hint="eastAsia" w:ascii="仿宋" w:hAnsi="仿宋" w:eastAsia="仿宋" w:cs="仿宋"/>
          <w:color w:val="auto"/>
          <w:sz w:val="32"/>
          <w:szCs w:val="32"/>
          <w:highlight w:val="none"/>
        </w:rPr>
        <w:t>日</w:t>
      </w:r>
    </w:p>
    <w:p w14:paraId="612D5413">
      <w:pPr>
        <w:spacing w:line="580" w:lineRule="exact"/>
        <w:rPr>
          <w:rFonts w:ascii="Times New Roman" w:hAnsi="仿宋" w:eastAsia="仿宋"/>
          <w:color w:val="auto"/>
          <w:sz w:val="32"/>
          <w:szCs w:val="32"/>
          <w:highlight w:val="none"/>
        </w:rPr>
      </w:pPr>
      <w:r>
        <w:rPr>
          <w:rFonts w:hint="eastAsia" w:ascii="Times New Roman" w:hAnsi="仿宋" w:eastAsia="仿宋"/>
          <w:color w:val="auto"/>
          <w:sz w:val="32"/>
          <w:szCs w:val="32"/>
          <w:highlight w:val="none"/>
        </w:rPr>
        <w:t>附件1</w:t>
      </w:r>
    </w:p>
    <w:p w14:paraId="5B3AB84D">
      <w:pPr>
        <w:spacing w:line="580" w:lineRule="exact"/>
        <w:rPr>
          <w:rFonts w:ascii="Times New Roman" w:hAnsi="仿宋" w:eastAsia="仿宋"/>
          <w:color w:val="auto"/>
          <w:sz w:val="32"/>
          <w:szCs w:val="32"/>
          <w:highlight w:val="none"/>
        </w:rPr>
      </w:pPr>
    </w:p>
    <w:p w14:paraId="5BEE44C5">
      <w:pPr>
        <w:spacing w:after="120" w:afterLines="50" w:line="580" w:lineRule="exact"/>
        <w:jc w:val="center"/>
        <w:rPr>
          <w:rFonts w:ascii="Times New Roman" w:hAnsi="仿宋" w:eastAsia="仿宋"/>
          <w:b/>
          <w:bCs/>
          <w:color w:val="auto"/>
          <w:sz w:val="44"/>
          <w:szCs w:val="44"/>
          <w:highlight w:val="none"/>
        </w:rPr>
      </w:pPr>
      <w:r>
        <w:rPr>
          <w:rFonts w:hint="eastAsia" w:ascii="Times New Roman" w:hAnsi="仿宋" w:eastAsia="仿宋"/>
          <w:b/>
          <w:bCs/>
          <w:color w:val="auto"/>
          <w:sz w:val="44"/>
          <w:szCs w:val="44"/>
          <w:highlight w:val="none"/>
        </w:rPr>
        <w:t>报价表</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1860"/>
        <w:gridCol w:w="1605"/>
        <w:gridCol w:w="3401"/>
      </w:tblGrid>
      <w:tr w14:paraId="0F99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8948" w:type="dxa"/>
            <w:gridSpan w:val="4"/>
            <w:vAlign w:val="center"/>
          </w:tcPr>
          <w:p w14:paraId="38E6C396">
            <w:pPr>
              <w:spacing w:line="440" w:lineRule="exact"/>
              <w:jc w:val="left"/>
              <w:rPr>
                <w:rFonts w:ascii="Times New Roman" w:hAnsi="仿宋" w:eastAsia="仿宋" w:cs="Times New Roman"/>
                <w:color w:val="auto"/>
                <w:sz w:val="28"/>
                <w:szCs w:val="28"/>
                <w:highlight w:val="none"/>
              </w:rPr>
            </w:pPr>
            <w:r>
              <w:rPr>
                <w:rFonts w:hint="eastAsia" w:ascii="Times New Roman" w:hAnsi="仿宋" w:eastAsia="仿宋" w:cs="Times New Roman"/>
                <w:color w:val="auto"/>
                <w:sz w:val="32"/>
                <w:szCs w:val="32"/>
                <w:highlight w:val="none"/>
              </w:rPr>
              <w:t>项目名称：</w:t>
            </w:r>
            <w:r>
              <w:rPr>
                <w:rFonts w:hint="eastAsia" w:ascii="Times New Roman" w:hAnsi="仿宋" w:eastAsia="仿宋" w:cs="Times New Roman"/>
                <w:color w:val="auto"/>
                <w:sz w:val="32"/>
                <w:szCs w:val="32"/>
                <w:highlight w:val="none"/>
                <w:lang w:eastAsia="zh-CN"/>
              </w:rPr>
              <w:t>中国—马来西亚钦州产业园区马淑路（东段）工程二标段</w:t>
            </w:r>
            <w:r>
              <w:rPr>
                <w:rFonts w:hint="eastAsia" w:ascii="Times New Roman" w:hAnsi="仿宋" w:eastAsia="仿宋" w:cs="Times New Roman"/>
                <w:color w:val="auto"/>
                <w:sz w:val="32"/>
                <w:szCs w:val="32"/>
                <w:highlight w:val="none"/>
              </w:rPr>
              <w:t>工程监理</w:t>
            </w:r>
          </w:p>
        </w:tc>
      </w:tr>
      <w:tr w14:paraId="16E78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trPr>
        <w:tc>
          <w:tcPr>
            <w:tcW w:w="2082" w:type="dxa"/>
            <w:vAlign w:val="center"/>
          </w:tcPr>
          <w:p w14:paraId="479805B8">
            <w:pPr>
              <w:spacing w:line="440" w:lineRule="exact"/>
              <w:jc w:val="center"/>
              <w:rPr>
                <w:rFonts w:hint="eastAsia" w:ascii="Times New Roman" w:hAnsi="仿宋" w:eastAsia="仿宋" w:cs="Times New Roman"/>
                <w:color w:val="auto"/>
                <w:sz w:val="32"/>
                <w:szCs w:val="32"/>
                <w:highlight w:val="none"/>
                <w:lang w:val="en-US" w:eastAsia="zh-CN"/>
              </w:rPr>
            </w:pPr>
            <w:r>
              <w:rPr>
                <w:rFonts w:hint="eastAsia" w:ascii="Times New Roman" w:hAnsi="仿宋" w:eastAsia="仿宋" w:cs="Times New Roman"/>
                <w:color w:val="auto"/>
                <w:sz w:val="32"/>
                <w:szCs w:val="32"/>
                <w:highlight w:val="none"/>
                <w:lang w:val="en-US" w:eastAsia="zh-CN"/>
              </w:rPr>
              <w:t>暂定</w:t>
            </w:r>
          </w:p>
          <w:p w14:paraId="012E4127">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计费基数</w:t>
            </w:r>
          </w:p>
          <w:p w14:paraId="57E06FA4">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（万元）</w:t>
            </w:r>
          </w:p>
        </w:tc>
        <w:tc>
          <w:tcPr>
            <w:tcW w:w="1860" w:type="dxa"/>
            <w:vAlign w:val="center"/>
          </w:tcPr>
          <w:p w14:paraId="3A959DBC">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lang w:val="en-US" w:eastAsia="zh-CN"/>
              </w:rPr>
              <w:t>暂定</w:t>
            </w:r>
            <w:r>
              <w:rPr>
                <w:rFonts w:hint="eastAsia" w:ascii="Times New Roman" w:hAnsi="仿宋" w:eastAsia="仿宋" w:cs="Times New Roman"/>
                <w:color w:val="auto"/>
                <w:sz w:val="32"/>
                <w:szCs w:val="32"/>
                <w:highlight w:val="none"/>
              </w:rPr>
              <w:t>监理费</w:t>
            </w:r>
          </w:p>
          <w:p w14:paraId="15B28BFB">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基准价</w:t>
            </w:r>
          </w:p>
          <w:p w14:paraId="64450651">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（万元）</w:t>
            </w:r>
          </w:p>
        </w:tc>
        <w:tc>
          <w:tcPr>
            <w:tcW w:w="1605" w:type="dxa"/>
            <w:vAlign w:val="center"/>
          </w:tcPr>
          <w:p w14:paraId="5FB5660A">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下浮系数</w:t>
            </w:r>
          </w:p>
          <w:p w14:paraId="50802CF6">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w:t>
            </w:r>
            <w:r>
              <w:rPr>
                <w:rFonts w:hint="eastAsia" w:ascii="Times New Roman" w:hAnsi="仿宋" w:eastAsia="仿宋" w:cs="Times New Roman"/>
                <w:color w:val="auto"/>
                <w:sz w:val="32"/>
                <w:szCs w:val="32"/>
                <w:highlight w:val="none"/>
                <w:lang w:val="en-US" w:eastAsia="zh-CN"/>
              </w:rPr>
              <w:t>35</w:t>
            </w:r>
            <w:r>
              <w:rPr>
                <w:rFonts w:hint="eastAsia" w:ascii="Times New Roman" w:hAnsi="仿宋" w:eastAsia="仿宋" w:cs="Times New Roman"/>
                <w:color w:val="auto"/>
                <w:sz w:val="32"/>
                <w:szCs w:val="32"/>
                <w:highlight w:val="none"/>
              </w:rPr>
              <w:t>%）</w:t>
            </w:r>
          </w:p>
        </w:tc>
        <w:tc>
          <w:tcPr>
            <w:tcW w:w="3401" w:type="dxa"/>
            <w:vAlign w:val="center"/>
          </w:tcPr>
          <w:p w14:paraId="59EB930E">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暂定总价</w:t>
            </w:r>
          </w:p>
          <w:p w14:paraId="0035F74B">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28"/>
                <w:szCs w:val="28"/>
                <w:highlight w:val="none"/>
              </w:rPr>
              <w:t>（基准价*（1-下浮系数））</w:t>
            </w:r>
          </w:p>
        </w:tc>
      </w:tr>
      <w:tr w14:paraId="3112A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trPr>
        <w:tc>
          <w:tcPr>
            <w:tcW w:w="2082" w:type="dxa"/>
            <w:vAlign w:val="center"/>
          </w:tcPr>
          <w:p w14:paraId="3B024757">
            <w:pPr>
              <w:spacing w:line="440" w:lineRule="exact"/>
              <w:jc w:val="center"/>
              <w:rPr>
                <w:rFonts w:hint="default" w:ascii="Times New Roman" w:hAnsi="仿宋" w:eastAsia="仿宋" w:cs="Times New Roman"/>
                <w:color w:val="auto"/>
                <w:sz w:val="32"/>
                <w:szCs w:val="32"/>
                <w:highlight w:val="none"/>
                <w:lang w:val="en-US" w:eastAsia="zh-CN"/>
              </w:rPr>
            </w:pPr>
            <w:r>
              <w:rPr>
                <w:rFonts w:hint="eastAsia" w:ascii="Times New Roman" w:hAnsi="仿宋" w:eastAsia="仿宋" w:cs="Times New Roman"/>
                <w:color w:val="auto"/>
                <w:sz w:val="32"/>
                <w:szCs w:val="32"/>
                <w:highlight w:val="none"/>
                <w:lang w:val="en-US" w:eastAsia="zh-CN"/>
              </w:rPr>
              <w:t>5180.50</w:t>
            </w:r>
          </w:p>
        </w:tc>
        <w:tc>
          <w:tcPr>
            <w:tcW w:w="1860" w:type="dxa"/>
            <w:vAlign w:val="center"/>
          </w:tcPr>
          <w:p w14:paraId="6D23186F">
            <w:pPr>
              <w:spacing w:line="440" w:lineRule="exact"/>
              <w:jc w:val="center"/>
              <w:rPr>
                <w:rFonts w:hint="default" w:ascii="Times New Roman" w:hAnsi="仿宋" w:eastAsia="仿宋" w:cs="Times New Roman"/>
                <w:color w:val="auto"/>
                <w:sz w:val="32"/>
                <w:szCs w:val="32"/>
                <w:highlight w:val="none"/>
                <w:u w:val="single"/>
                <w:lang w:val="en-US" w:eastAsia="zh-CN"/>
              </w:rPr>
            </w:pPr>
            <w:r>
              <w:rPr>
                <w:rFonts w:hint="eastAsia" w:ascii="Times New Roman" w:hAnsi="仿宋" w:eastAsia="仿宋" w:cs="Times New Roman"/>
                <w:color w:val="auto"/>
                <w:sz w:val="32"/>
                <w:szCs w:val="32"/>
                <w:highlight w:val="none"/>
                <w:u w:val="none"/>
                <w:lang w:val="en-US" w:eastAsia="zh-CN"/>
              </w:rPr>
              <w:t>105.76</w:t>
            </w:r>
          </w:p>
        </w:tc>
        <w:tc>
          <w:tcPr>
            <w:tcW w:w="1605" w:type="dxa"/>
            <w:vAlign w:val="center"/>
          </w:tcPr>
          <w:p w14:paraId="683E43B1">
            <w:pPr>
              <w:spacing w:line="440" w:lineRule="exact"/>
              <w:jc w:val="center"/>
              <w:rPr>
                <w:rFonts w:ascii="Times New Roman" w:hAnsi="仿宋" w:eastAsia="仿宋" w:cs="Times New Roman"/>
                <w:color w:val="auto"/>
                <w:sz w:val="32"/>
                <w:szCs w:val="32"/>
                <w:highlight w:val="none"/>
              </w:rPr>
            </w:pPr>
          </w:p>
        </w:tc>
        <w:tc>
          <w:tcPr>
            <w:tcW w:w="3401" w:type="dxa"/>
            <w:vAlign w:val="center"/>
          </w:tcPr>
          <w:p w14:paraId="4D1009AB">
            <w:pPr>
              <w:spacing w:line="440" w:lineRule="exact"/>
              <w:jc w:val="center"/>
              <w:rPr>
                <w:rFonts w:ascii="Times New Roman" w:hAnsi="仿宋" w:eastAsia="仿宋" w:cs="Times New Roman"/>
                <w:color w:val="auto"/>
                <w:sz w:val="32"/>
                <w:szCs w:val="32"/>
                <w:highlight w:val="none"/>
              </w:rPr>
            </w:pPr>
          </w:p>
        </w:tc>
      </w:tr>
      <w:tr w14:paraId="554D0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0" w:hRule="atLeast"/>
        </w:trPr>
        <w:tc>
          <w:tcPr>
            <w:tcW w:w="8948" w:type="dxa"/>
            <w:gridSpan w:val="4"/>
          </w:tcPr>
          <w:p w14:paraId="3D64EF44">
            <w:pPr>
              <w:tabs>
                <w:tab w:val="left" w:pos="1606"/>
              </w:tabs>
              <w:spacing w:line="440" w:lineRule="exact"/>
              <w:jc w:val="left"/>
              <w:rPr>
                <w:rFonts w:hint="default" w:ascii="Times New Roman" w:hAnsi="仿宋" w:cs="Times New Roman" w:eastAsiaTheme="minorEastAsia"/>
                <w:color w:val="auto"/>
                <w:sz w:val="32"/>
                <w:szCs w:val="32"/>
                <w:highlight w:val="none"/>
                <w:lang w:val="en-US" w:eastAsia="zh-CN"/>
              </w:rPr>
            </w:pPr>
            <w:r>
              <w:rPr>
                <w:rFonts w:hint="eastAsia" w:ascii="Times New Roman" w:hAnsi="仿宋" w:eastAsia="仿宋" w:cs="Times New Roman"/>
                <w:color w:val="auto"/>
                <w:sz w:val="32"/>
                <w:szCs w:val="32"/>
                <w:highlight w:val="none"/>
              </w:rPr>
              <w:t>注：下浮系数由报价单位自行综合考虑后填写，暂定总价金额不得高于控制价</w:t>
            </w:r>
            <w:r>
              <w:rPr>
                <w:rFonts w:hint="eastAsia" w:ascii="Times New Roman" w:hAnsi="仿宋" w:eastAsia="仿宋" w:cs="Times New Roman"/>
                <w:color w:val="auto"/>
                <w:sz w:val="32"/>
                <w:szCs w:val="32"/>
                <w:highlight w:val="none"/>
                <w:lang w:eastAsia="zh-CN"/>
              </w:rPr>
              <w:t>（</w:t>
            </w:r>
            <w:r>
              <w:rPr>
                <w:rFonts w:hint="eastAsia" w:ascii="Times New Roman" w:hAnsi="仿宋" w:eastAsia="仿宋" w:cs="Times New Roman"/>
                <w:color w:val="auto"/>
                <w:sz w:val="32"/>
                <w:szCs w:val="32"/>
                <w:highlight w:val="none"/>
                <w:lang w:val="en-US" w:eastAsia="zh-CN"/>
              </w:rPr>
              <w:t>68.74</w:t>
            </w:r>
            <w:r>
              <w:rPr>
                <w:rFonts w:hint="eastAsia" w:hAnsi="仿宋" w:eastAsia="仿宋"/>
                <w:color w:val="auto"/>
                <w:sz w:val="32"/>
                <w:szCs w:val="32"/>
                <w:highlight w:val="none"/>
                <w:lang w:val="en-US" w:eastAsia="zh-CN"/>
              </w:rPr>
              <w:t>万元）</w:t>
            </w:r>
            <w:r>
              <w:rPr>
                <w:rFonts w:hint="eastAsia" w:ascii="Times New Roman" w:hAnsi="仿宋" w:eastAsia="仿宋" w:cs="Times New Roman"/>
                <w:color w:val="auto"/>
                <w:sz w:val="32"/>
                <w:szCs w:val="32"/>
                <w:highlight w:val="none"/>
                <w:lang w:val="en-US" w:eastAsia="zh-CN"/>
              </w:rPr>
              <w:t>且不</w:t>
            </w:r>
            <w:r>
              <w:rPr>
                <w:rFonts w:hint="eastAsia" w:ascii="Times New Roman" w:hAnsi="仿宋" w:eastAsia="仿宋" w:cs="Times New Roman"/>
                <w:color w:val="auto"/>
                <w:sz w:val="32"/>
                <w:szCs w:val="32"/>
                <w:highlight w:val="none"/>
              </w:rPr>
              <w:t>低于控制价的80%，否则报价文件做无效处理。</w:t>
            </w:r>
            <w:r>
              <w:rPr>
                <w:rFonts w:hint="eastAsia" w:ascii="Times New Roman" w:hAnsi="仿宋" w:eastAsia="仿宋" w:cs="Times New Roman"/>
                <w:color w:val="auto"/>
                <w:sz w:val="32"/>
                <w:szCs w:val="32"/>
                <w:highlight w:val="none"/>
                <w:lang w:eastAsia="zh-CN"/>
              </w:rPr>
              <w:t>（最终监理费</w:t>
            </w:r>
            <w:r>
              <w:rPr>
                <w:rFonts w:hint="eastAsia" w:ascii="Times New Roman" w:hAnsi="仿宋" w:eastAsia="仿宋" w:cs="Times New Roman"/>
                <w:color w:val="auto"/>
                <w:sz w:val="32"/>
                <w:szCs w:val="32"/>
                <w:highlight w:val="none"/>
                <w:lang w:val="en-US" w:eastAsia="zh-CN"/>
              </w:rPr>
              <w:t>包干总价</w:t>
            </w:r>
            <w:r>
              <w:rPr>
                <w:rFonts w:hint="eastAsia" w:ascii="Times New Roman" w:hAnsi="仿宋" w:eastAsia="仿宋" w:cs="Times New Roman"/>
                <w:color w:val="auto"/>
                <w:sz w:val="32"/>
                <w:szCs w:val="32"/>
                <w:highlight w:val="none"/>
                <w:lang w:eastAsia="zh-CN"/>
              </w:rPr>
              <w:t>的基准价以施工合同签约金额（扣除暂列金额）为基数进行结算，监理服务费=监理费基准价×(1-中选下浮系数)，计费依据</w:t>
            </w:r>
            <w:r>
              <w:rPr>
                <w:rFonts w:hint="eastAsia" w:ascii="仿宋" w:hAnsi="仿宋" w:eastAsia="仿宋"/>
                <w:bCs/>
                <w:sz w:val="32"/>
                <w:szCs w:val="32"/>
              </w:rPr>
              <w:t>《国家发展改革委建设部关于印发&lt;建设工程监理与相关服务收费管理规定&gt;的通知》（发改价格〔2007〕670号）</w:t>
            </w:r>
            <w:r>
              <w:rPr>
                <w:rFonts w:hint="eastAsia" w:ascii="仿宋" w:hAnsi="仿宋" w:eastAsia="仿宋"/>
                <w:bCs/>
                <w:sz w:val="32"/>
                <w:szCs w:val="32"/>
                <w:lang w:eastAsia="zh-CN"/>
              </w:rPr>
              <w:t>、</w:t>
            </w:r>
            <w:r>
              <w:rPr>
                <w:rFonts w:hint="eastAsia" w:ascii="方正仿宋_GBK" w:hAnsi="方正仿宋_GBK" w:eastAsia="方正仿宋_GBK" w:cs="方正仿宋_GBK"/>
                <w:color w:val="000000" w:themeColor="text1"/>
                <w:sz w:val="32"/>
                <w:szCs w:val="32"/>
                <w14:textFill>
                  <w14:solidFill>
                    <w14:schemeClr w14:val="tx1"/>
                  </w14:solidFill>
                </w14:textFill>
              </w:rPr>
              <w:t>《钦州市人民政府办公室关于财政性资金投资项目其他费用预算管理有关问题的通知》(钦政办(20</w:t>
            </w:r>
            <w:r>
              <w:rPr>
                <w:rFonts w:hint="eastAsia" w:ascii="方正仿宋_GBK" w:hAnsi="方正仿宋_GBK" w:eastAsia="方正仿宋_GBK" w:cs="方正仿宋_GBK"/>
                <w:color w:val="000000" w:themeColor="text1"/>
                <w:sz w:val="32"/>
                <w:szCs w:val="32"/>
                <w:lang w:val="en-US" w:eastAsia="zh-CN"/>
                <w14:textFill>
                  <w14:solidFill>
                    <w14:schemeClr w14:val="tx1"/>
                  </w14:solidFill>
                </w14:textFill>
              </w:rPr>
              <w:t>25</w:t>
            </w:r>
            <w:r>
              <w:rPr>
                <w:rFonts w:hint="eastAsia" w:ascii="方正仿宋_GBK" w:hAnsi="方正仿宋_GBK" w:eastAsia="方正仿宋_GBK" w:cs="方正仿宋_GBK"/>
                <w:color w:val="000000" w:themeColor="text1"/>
                <w:sz w:val="32"/>
                <w:szCs w:val="32"/>
                <w14:textFill>
                  <w14:solidFill>
                    <w14:schemeClr w14:val="tx1"/>
                  </w14:solidFill>
                </w14:textFill>
              </w:rPr>
              <w:t>)</w:t>
            </w:r>
            <w:r>
              <w:rPr>
                <w:rFonts w:hint="eastAsia" w:ascii="方正仿宋_GBK" w:hAnsi="方正仿宋_GBK" w:eastAsia="方正仿宋_GBK" w:cs="方正仿宋_GBK"/>
                <w:color w:val="000000" w:themeColor="text1"/>
                <w:sz w:val="32"/>
                <w:szCs w:val="32"/>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32"/>
                <w:szCs w:val="32"/>
                <w14:textFill>
                  <w14:solidFill>
                    <w14:schemeClr w14:val="tx1"/>
                  </w14:solidFill>
                </w14:textFill>
              </w:rPr>
              <w:t>号)执行</w:t>
            </w:r>
            <w:r>
              <w:rPr>
                <w:rFonts w:hint="eastAsia" w:ascii="Times New Roman" w:hAnsi="仿宋" w:eastAsia="仿宋" w:cs="Times New Roman"/>
                <w:color w:val="auto"/>
                <w:sz w:val="32"/>
                <w:szCs w:val="32"/>
                <w:highlight w:val="none"/>
                <w:lang w:eastAsia="zh-CN"/>
              </w:rPr>
              <w:t>。）</w:t>
            </w:r>
          </w:p>
        </w:tc>
      </w:tr>
    </w:tbl>
    <w:p w14:paraId="68D8B2DA">
      <w:pPr>
        <w:spacing w:line="440" w:lineRule="exact"/>
        <w:rPr>
          <w:rFonts w:ascii="Times New Roman" w:hAnsi="仿宋" w:eastAsia="仿宋"/>
          <w:color w:val="auto"/>
          <w:sz w:val="32"/>
          <w:szCs w:val="32"/>
          <w:highlight w:val="none"/>
        </w:rPr>
      </w:pPr>
      <w:bookmarkStart w:id="22" w:name="_GoBack"/>
      <w:bookmarkEnd w:id="22"/>
    </w:p>
    <w:p w14:paraId="46AC552C">
      <w:pPr>
        <w:spacing w:line="440" w:lineRule="exact"/>
        <w:rPr>
          <w:rFonts w:ascii="Times New Roman" w:hAnsi="仿宋" w:eastAsia="仿宋"/>
          <w:color w:val="auto"/>
          <w:sz w:val="32"/>
          <w:szCs w:val="32"/>
          <w:highlight w:val="none"/>
        </w:rPr>
      </w:pPr>
      <w:r>
        <w:rPr>
          <w:rFonts w:hint="eastAsia" w:ascii="Times New Roman" w:hAnsi="仿宋" w:eastAsia="仿宋"/>
          <w:color w:val="auto"/>
          <w:sz w:val="32"/>
          <w:szCs w:val="32"/>
          <w:highlight w:val="none"/>
        </w:rPr>
        <w:t xml:space="preserve">                                  报价单位：（盖章）</w:t>
      </w:r>
    </w:p>
    <w:p w14:paraId="163DDEA6">
      <w:pPr>
        <w:spacing w:line="440" w:lineRule="exact"/>
        <w:rPr>
          <w:rFonts w:hint="eastAsia" w:ascii="Times New Roman" w:hAnsi="仿宋" w:eastAsia="仿宋"/>
          <w:color w:val="auto"/>
          <w:sz w:val="32"/>
          <w:szCs w:val="32"/>
          <w:highlight w:val="none"/>
        </w:rPr>
      </w:pPr>
      <w:r>
        <w:rPr>
          <w:rFonts w:hint="eastAsia" w:ascii="Times New Roman" w:hAnsi="仿宋" w:eastAsia="仿宋"/>
          <w:color w:val="auto"/>
          <w:sz w:val="32"/>
          <w:szCs w:val="32"/>
          <w:highlight w:val="none"/>
        </w:rPr>
        <w:t xml:space="preserve">                                   联系人：</w:t>
      </w:r>
    </w:p>
    <w:p w14:paraId="6CBD13C4">
      <w:pPr>
        <w:spacing w:line="580" w:lineRule="exact"/>
        <w:ind w:firstLine="5440" w:firstLineChars="1700"/>
        <w:rPr>
          <w:rFonts w:hint="eastAsia"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lang w:val="en-US" w:eastAsia="zh-CN"/>
        </w:rPr>
        <w:t>联系方式：</w:t>
      </w:r>
    </w:p>
    <w:p w14:paraId="0ECAC3F6">
      <w:pPr>
        <w:spacing w:line="580" w:lineRule="exact"/>
        <w:ind w:firstLine="5440" w:firstLineChars="1700"/>
        <w:rPr>
          <w:rFonts w:hint="eastAsia"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lang w:val="en-US" w:eastAsia="zh-CN"/>
        </w:rPr>
        <w:t>开户银行：</w:t>
      </w:r>
    </w:p>
    <w:p w14:paraId="3735CF08">
      <w:pPr>
        <w:spacing w:line="580" w:lineRule="exact"/>
        <w:ind w:firstLine="6080" w:firstLineChars="1900"/>
        <w:rPr>
          <w:rFonts w:hint="default"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lang w:val="en-US" w:eastAsia="zh-CN"/>
        </w:rPr>
        <w:t>账号：</w:t>
      </w:r>
    </w:p>
    <w:p w14:paraId="35F1AEBF">
      <w:pPr>
        <w:spacing w:line="580" w:lineRule="exact"/>
        <w:rPr>
          <w:rFonts w:hint="eastAsia" w:ascii="Times New Roman" w:hAnsi="仿宋" w:eastAsia="仿宋"/>
          <w:color w:val="auto"/>
          <w:sz w:val="32"/>
          <w:szCs w:val="32"/>
          <w:highlight w:val="none"/>
        </w:rPr>
      </w:pPr>
      <w:r>
        <w:rPr>
          <w:rFonts w:hint="eastAsia" w:ascii="Times New Roman" w:hAnsi="仿宋" w:eastAsia="仿宋"/>
          <w:color w:val="auto"/>
          <w:sz w:val="32"/>
          <w:szCs w:val="32"/>
          <w:highlight w:val="none"/>
        </w:rPr>
        <w:t>附件2</w:t>
      </w:r>
    </w:p>
    <w:p w14:paraId="3DE1FD33">
      <w:pPr>
        <w:spacing w:line="580" w:lineRule="exact"/>
        <w:rPr>
          <w:rFonts w:hint="eastAsia" w:ascii="Times New Roman" w:hAnsi="仿宋" w:eastAsia="仿宋"/>
          <w:color w:val="auto"/>
          <w:sz w:val="32"/>
          <w:szCs w:val="32"/>
          <w:highlight w:val="none"/>
        </w:rPr>
      </w:pPr>
    </w:p>
    <w:p w14:paraId="06E2EC6E">
      <w:pPr>
        <w:spacing w:line="360" w:lineRule="auto"/>
        <w:jc w:val="center"/>
        <w:rPr>
          <w:rFonts w:ascii="宋体" w:hAnsi="宋体"/>
          <w:b/>
          <w:color w:val="auto"/>
          <w:kern w:val="0"/>
          <w:sz w:val="28"/>
          <w:szCs w:val="28"/>
          <w:highlight w:val="none"/>
        </w:rPr>
      </w:pPr>
      <w:r>
        <w:rPr>
          <w:rFonts w:hint="eastAsia" w:ascii="宋体" w:hAnsi="宋体"/>
          <w:b/>
          <w:color w:val="auto"/>
          <w:kern w:val="0"/>
          <w:sz w:val="28"/>
          <w:szCs w:val="28"/>
          <w:highlight w:val="none"/>
        </w:rPr>
        <w:t>无挂靠承诺书</w:t>
      </w:r>
    </w:p>
    <w:p w14:paraId="01E50A6F">
      <w:pPr>
        <w:spacing w:line="360" w:lineRule="auto"/>
        <w:jc w:val="center"/>
        <w:rPr>
          <w:rFonts w:ascii="宋体" w:hAnsi="宋体"/>
          <w:b/>
          <w:color w:val="auto"/>
          <w:kern w:val="0"/>
          <w:sz w:val="28"/>
          <w:szCs w:val="28"/>
          <w:highlight w:val="none"/>
        </w:rPr>
      </w:pPr>
    </w:p>
    <w:p w14:paraId="3C7CBBE4">
      <w:pPr>
        <w:spacing w:line="360" w:lineRule="auto"/>
        <w:rPr>
          <w:rFonts w:ascii="宋体" w:hAnsi="宋体"/>
          <w:color w:val="auto"/>
          <w:kern w:val="0"/>
          <w:sz w:val="24"/>
          <w:highlight w:val="none"/>
        </w:rPr>
      </w:pPr>
      <w:r>
        <w:rPr>
          <w:rFonts w:hint="eastAsia" w:ascii="宋体" w:hAnsi="宋体"/>
          <w:color w:val="auto"/>
          <w:kern w:val="0"/>
          <w:sz w:val="24"/>
          <w:highlight w:val="none"/>
        </w:rPr>
        <w:t>致</w:t>
      </w:r>
      <w:r>
        <w:rPr>
          <w:rFonts w:ascii="宋体" w:hAnsi="宋体" w:eastAsia="宋体" w:cs="宋体"/>
          <w:color w:val="auto"/>
          <w:kern w:val="0"/>
          <w:sz w:val="24"/>
          <w:highlight w:val="none"/>
        </w:rPr>
        <w:t>广西</w:t>
      </w:r>
      <w:r>
        <w:rPr>
          <w:rFonts w:hint="eastAsia" w:ascii="宋体" w:hAnsi="宋体" w:eastAsia="宋体" w:cs="宋体"/>
          <w:color w:val="auto"/>
          <w:kern w:val="0"/>
          <w:sz w:val="24"/>
          <w:highlight w:val="none"/>
          <w:lang w:val="en-US" w:eastAsia="zh-CN"/>
        </w:rPr>
        <w:t>中马钦州产业园区</w:t>
      </w:r>
      <w:r>
        <w:rPr>
          <w:rFonts w:hint="eastAsia" w:ascii="宋体" w:hAnsi="宋体" w:eastAsia="宋体" w:cs="宋体"/>
          <w:color w:val="auto"/>
          <w:kern w:val="0"/>
          <w:sz w:val="24"/>
          <w:highlight w:val="none"/>
        </w:rPr>
        <w:t>开发</w:t>
      </w:r>
      <w:r>
        <w:rPr>
          <w:rFonts w:ascii="宋体" w:hAnsi="宋体" w:eastAsia="宋体" w:cs="宋体"/>
          <w:color w:val="auto"/>
          <w:kern w:val="0"/>
          <w:sz w:val="24"/>
          <w:highlight w:val="none"/>
        </w:rPr>
        <w:t>有限公司</w:t>
      </w:r>
      <w:r>
        <w:rPr>
          <w:rFonts w:ascii="宋体" w:hAnsi="宋体" w:cs="宋体"/>
          <w:color w:val="auto"/>
          <w:kern w:val="0"/>
          <w:sz w:val="24"/>
          <w:highlight w:val="none"/>
        </w:rPr>
        <w:t>：</w:t>
      </w:r>
    </w:p>
    <w:p w14:paraId="60F24AFE">
      <w:pPr>
        <w:spacing w:line="360" w:lineRule="auto"/>
        <w:ind w:firstLine="448" w:firstLineChars="187"/>
        <w:rPr>
          <w:rFonts w:ascii="宋体" w:hAnsi="宋体" w:cs="宋体"/>
          <w:color w:val="auto"/>
          <w:kern w:val="0"/>
          <w:sz w:val="24"/>
          <w:highlight w:val="none"/>
        </w:rPr>
      </w:pPr>
      <w:r>
        <w:rPr>
          <w:rFonts w:hint="eastAsia" w:ascii="宋体" w:hAnsi="宋体" w:cs="宋体"/>
          <w:color w:val="auto"/>
          <w:kern w:val="0"/>
          <w:sz w:val="24"/>
          <w:highlight w:val="none"/>
        </w:rPr>
        <w:t>我公司郑重承诺，在</w:t>
      </w:r>
      <w:r>
        <w:rPr>
          <w:rFonts w:hint="eastAsia" w:ascii="宋体" w:hAnsi="宋体"/>
          <w:color w:val="auto"/>
          <w:sz w:val="24"/>
          <w:highlight w:val="none"/>
          <w:u w:val="single"/>
        </w:rPr>
        <w:t xml:space="preserve">                         </w:t>
      </w:r>
      <w:r>
        <w:rPr>
          <w:rFonts w:hint="eastAsia" w:ascii="宋体" w:hAnsi="宋体" w:cs="宋体"/>
          <w:color w:val="auto"/>
          <w:kern w:val="0"/>
          <w:sz w:val="24"/>
          <w:highlight w:val="none"/>
        </w:rPr>
        <w:t>监理报价及施工监理服务过程中，我公司</w:t>
      </w:r>
      <w:r>
        <w:rPr>
          <w:rFonts w:ascii="宋体" w:hAnsi="宋体" w:cs="宋体"/>
          <w:color w:val="auto"/>
          <w:kern w:val="0"/>
          <w:sz w:val="24"/>
          <w:highlight w:val="none"/>
        </w:rPr>
        <w:t>禁止以任何形式允许其他单位或者个人使用本企业的资质证书、营业执照，以本企业的名义承揽工程</w:t>
      </w:r>
      <w:r>
        <w:rPr>
          <w:rFonts w:hint="eastAsia" w:ascii="宋体" w:hAnsi="宋体" w:cs="宋体"/>
          <w:color w:val="auto"/>
          <w:kern w:val="0"/>
          <w:sz w:val="24"/>
          <w:highlight w:val="none"/>
        </w:rPr>
        <w:t>业务，否则贵公司有权终止合同，由此造成的一切损失均由我公司承担。</w:t>
      </w:r>
    </w:p>
    <w:p w14:paraId="7F3DF5F9">
      <w:pPr>
        <w:spacing w:line="360" w:lineRule="auto"/>
        <w:ind w:firstLine="448" w:firstLineChars="187"/>
        <w:rPr>
          <w:rFonts w:ascii="宋体" w:hAnsi="宋体" w:cs="宋体"/>
          <w:color w:val="auto"/>
          <w:kern w:val="0"/>
          <w:sz w:val="24"/>
          <w:highlight w:val="none"/>
        </w:rPr>
      </w:pPr>
      <w:r>
        <w:rPr>
          <w:rFonts w:hint="eastAsia" w:ascii="宋体" w:hAnsi="宋体" w:cs="宋体"/>
          <w:color w:val="auto"/>
          <w:kern w:val="0"/>
          <w:sz w:val="24"/>
          <w:highlight w:val="none"/>
        </w:rPr>
        <w:t>特此承诺！</w:t>
      </w:r>
    </w:p>
    <w:p w14:paraId="22ACAF1D">
      <w:pPr>
        <w:spacing w:line="360" w:lineRule="auto"/>
        <w:rPr>
          <w:rFonts w:ascii="宋体" w:hAnsi="宋体" w:cs="宋体"/>
          <w:color w:val="auto"/>
          <w:kern w:val="0"/>
          <w:sz w:val="24"/>
          <w:highlight w:val="none"/>
        </w:rPr>
      </w:pPr>
    </w:p>
    <w:p w14:paraId="67D03603">
      <w:pPr>
        <w:spacing w:line="360" w:lineRule="auto"/>
        <w:rPr>
          <w:rFonts w:ascii="宋体" w:hAnsi="宋体" w:cs="宋体"/>
          <w:color w:val="auto"/>
          <w:kern w:val="0"/>
          <w:sz w:val="24"/>
          <w:highlight w:val="none"/>
        </w:rPr>
      </w:pPr>
    </w:p>
    <w:p w14:paraId="5BA863B7">
      <w:pPr>
        <w:spacing w:line="360" w:lineRule="auto"/>
        <w:rPr>
          <w:rFonts w:ascii="宋体" w:hAnsi="宋体" w:cs="宋体"/>
          <w:color w:val="auto"/>
          <w:kern w:val="0"/>
          <w:sz w:val="24"/>
          <w:highlight w:val="none"/>
          <w:u w:val="single"/>
        </w:rPr>
      </w:pPr>
      <w:r>
        <w:rPr>
          <w:rFonts w:hint="eastAsia" w:ascii="宋体" w:hAnsi="宋体" w:cs="宋体"/>
          <w:color w:val="auto"/>
          <w:kern w:val="0"/>
          <w:sz w:val="24"/>
          <w:highlight w:val="none"/>
        </w:rPr>
        <w:t>报价人：</w:t>
      </w:r>
      <w:r>
        <w:rPr>
          <w:rFonts w:hint="eastAsia" w:ascii="宋体" w:hAnsi="宋体" w:cs="宋体"/>
          <w:color w:val="auto"/>
          <w:kern w:val="0"/>
          <w:sz w:val="24"/>
          <w:highlight w:val="none"/>
          <w:u w:val="single"/>
        </w:rPr>
        <w:t xml:space="preserve">                         （盖章）</w:t>
      </w:r>
    </w:p>
    <w:p w14:paraId="2F20995F">
      <w:pPr>
        <w:tabs>
          <w:tab w:val="left" w:pos="826"/>
        </w:tabs>
        <w:snapToGrid w:val="0"/>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日期：  年  月   日</w:t>
      </w:r>
    </w:p>
    <w:p w14:paraId="0A98E6A0">
      <w:pPr>
        <w:spacing w:line="560" w:lineRule="exact"/>
        <w:rPr>
          <w:rFonts w:ascii="Times New Roman" w:hAnsi="仿宋" w:eastAsia="仿宋"/>
          <w:color w:val="auto"/>
          <w:sz w:val="32"/>
          <w:szCs w:val="32"/>
          <w:highlight w:val="none"/>
        </w:rPr>
      </w:pPr>
    </w:p>
    <w:p w14:paraId="18E102C8">
      <w:pPr>
        <w:spacing w:line="560" w:lineRule="exact"/>
        <w:rPr>
          <w:rFonts w:ascii="Times New Roman" w:hAnsi="仿宋" w:eastAsia="仿宋"/>
          <w:color w:val="auto"/>
          <w:sz w:val="32"/>
          <w:szCs w:val="32"/>
          <w:highlight w:val="none"/>
        </w:rPr>
      </w:pPr>
    </w:p>
    <w:p w14:paraId="538249E6">
      <w:pPr>
        <w:spacing w:line="560" w:lineRule="exact"/>
        <w:rPr>
          <w:rFonts w:ascii="Times New Roman" w:hAnsi="仿宋" w:eastAsia="仿宋"/>
          <w:color w:val="auto"/>
          <w:sz w:val="32"/>
          <w:szCs w:val="32"/>
          <w:highlight w:val="none"/>
        </w:rPr>
      </w:pPr>
    </w:p>
    <w:p w14:paraId="267FC996">
      <w:pPr>
        <w:spacing w:line="560" w:lineRule="exact"/>
        <w:rPr>
          <w:rFonts w:ascii="Times New Roman" w:hAnsi="仿宋" w:eastAsia="仿宋"/>
          <w:color w:val="auto"/>
          <w:sz w:val="32"/>
          <w:szCs w:val="32"/>
          <w:highlight w:val="none"/>
        </w:rPr>
      </w:pPr>
    </w:p>
    <w:p w14:paraId="3969A2F7">
      <w:pPr>
        <w:spacing w:line="560" w:lineRule="exact"/>
        <w:rPr>
          <w:rFonts w:ascii="Times New Roman" w:hAnsi="仿宋" w:eastAsia="仿宋"/>
          <w:color w:val="auto"/>
          <w:sz w:val="32"/>
          <w:szCs w:val="32"/>
          <w:highlight w:val="none"/>
        </w:rPr>
      </w:pPr>
    </w:p>
    <w:p w14:paraId="5314FC38">
      <w:pPr>
        <w:spacing w:line="560" w:lineRule="exact"/>
        <w:rPr>
          <w:rFonts w:ascii="Times New Roman" w:hAnsi="仿宋" w:eastAsia="仿宋"/>
          <w:color w:val="auto"/>
          <w:sz w:val="32"/>
          <w:szCs w:val="32"/>
          <w:highlight w:val="none"/>
        </w:rPr>
      </w:pPr>
    </w:p>
    <w:p w14:paraId="441E82FC">
      <w:pPr>
        <w:spacing w:line="560" w:lineRule="exact"/>
        <w:rPr>
          <w:rFonts w:ascii="Times New Roman" w:hAnsi="仿宋" w:eastAsia="仿宋"/>
          <w:color w:val="auto"/>
          <w:sz w:val="32"/>
          <w:szCs w:val="32"/>
          <w:highlight w:val="none"/>
        </w:rPr>
      </w:pPr>
    </w:p>
    <w:p w14:paraId="0597EC28">
      <w:pPr>
        <w:spacing w:line="560" w:lineRule="exact"/>
        <w:rPr>
          <w:rFonts w:ascii="Times New Roman" w:hAnsi="仿宋" w:eastAsia="仿宋"/>
          <w:color w:val="auto"/>
          <w:sz w:val="32"/>
          <w:szCs w:val="32"/>
          <w:highlight w:val="none"/>
        </w:rPr>
      </w:pPr>
    </w:p>
    <w:p w14:paraId="74C35DE9">
      <w:pPr>
        <w:spacing w:line="560" w:lineRule="exact"/>
        <w:rPr>
          <w:rFonts w:ascii="Times New Roman" w:hAnsi="仿宋" w:eastAsia="仿宋"/>
          <w:color w:val="auto"/>
          <w:sz w:val="32"/>
          <w:szCs w:val="32"/>
          <w:highlight w:val="none"/>
        </w:rPr>
      </w:pPr>
    </w:p>
    <w:p w14:paraId="7F9E2CB0">
      <w:pPr>
        <w:spacing w:line="560" w:lineRule="exact"/>
        <w:rPr>
          <w:rFonts w:hint="eastAsia"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rPr>
        <w:t>附件3</w:t>
      </w:r>
    </w:p>
    <w:p w14:paraId="0ED6048D">
      <w:pPr>
        <w:spacing w:line="360" w:lineRule="auto"/>
        <w:jc w:val="center"/>
        <w:rPr>
          <w:b/>
          <w:bCs/>
          <w:color w:val="auto"/>
          <w:sz w:val="52"/>
          <w:szCs w:val="52"/>
          <w:highlight w:val="none"/>
        </w:rPr>
      </w:pPr>
    </w:p>
    <w:p w14:paraId="04BFE891">
      <w:pPr>
        <w:spacing w:line="360" w:lineRule="auto"/>
        <w:rPr>
          <w:b/>
          <w:bCs/>
          <w:sz w:val="48"/>
          <w:szCs w:val="48"/>
        </w:rPr>
      </w:pPr>
    </w:p>
    <w:p w14:paraId="5149C2E3">
      <w:pPr>
        <w:spacing w:line="360" w:lineRule="auto"/>
        <w:jc w:val="center"/>
        <w:rPr>
          <w:bCs/>
          <w:sz w:val="48"/>
          <w:szCs w:val="48"/>
        </w:rPr>
      </w:pPr>
      <w:r>
        <w:rPr>
          <w:rFonts w:hint="eastAsia" w:hAnsi="宋体"/>
          <w:b/>
          <w:bCs/>
          <w:sz w:val="52"/>
          <w:szCs w:val="52"/>
          <w:u w:val="single"/>
        </w:rPr>
        <w:t>中国—马来西亚钦州产业园区马淑路（东段）工程二标段工程监理合同</w:t>
      </w:r>
    </w:p>
    <w:p w14:paraId="15C671DB">
      <w:pPr>
        <w:spacing w:line="360" w:lineRule="auto"/>
        <w:jc w:val="center"/>
        <w:rPr>
          <w:b/>
          <w:bCs/>
          <w:sz w:val="24"/>
          <w:u w:val="single"/>
        </w:rPr>
      </w:pPr>
      <w:r>
        <w:rPr>
          <w:rFonts w:hint="eastAsia"/>
          <w:b/>
          <w:bCs/>
          <w:sz w:val="24"/>
        </w:rPr>
        <w:t>合同编号：</w:t>
      </w:r>
      <w:r>
        <w:rPr>
          <w:b/>
          <w:bCs/>
          <w:sz w:val="24"/>
          <w:u w:val="single"/>
        </w:rPr>
        <w:t xml:space="preserve"> CMQIP</w:t>
      </w:r>
      <w:r>
        <w:rPr>
          <w:rFonts w:hint="eastAsia"/>
          <w:b/>
          <w:bCs/>
          <w:sz w:val="24"/>
          <w:u w:val="single"/>
        </w:rPr>
        <w:t>******</w:t>
      </w:r>
    </w:p>
    <w:p w14:paraId="790AADE8">
      <w:pPr>
        <w:spacing w:line="360" w:lineRule="auto"/>
        <w:jc w:val="center"/>
        <w:rPr>
          <w:b/>
          <w:bCs/>
          <w:sz w:val="24"/>
        </w:rPr>
      </w:pPr>
    </w:p>
    <w:p w14:paraId="29BE84D5">
      <w:pPr>
        <w:spacing w:line="360" w:lineRule="auto"/>
        <w:jc w:val="center"/>
        <w:rPr>
          <w:b/>
          <w:bCs/>
          <w:sz w:val="24"/>
        </w:rPr>
      </w:pPr>
    </w:p>
    <w:p w14:paraId="0CFABA45">
      <w:pPr>
        <w:spacing w:line="360" w:lineRule="auto"/>
        <w:rPr>
          <w:b/>
          <w:bCs/>
          <w:sz w:val="24"/>
        </w:rPr>
      </w:pPr>
    </w:p>
    <w:p w14:paraId="09C8A935">
      <w:pPr>
        <w:spacing w:line="360" w:lineRule="auto"/>
        <w:jc w:val="center"/>
        <w:rPr>
          <w:b/>
          <w:bCs/>
          <w:sz w:val="24"/>
        </w:rPr>
      </w:pPr>
    </w:p>
    <w:p w14:paraId="72101C4F">
      <w:pPr>
        <w:spacing w:line="360" w:lineRule="auto"/>
        <w:rPr>
          <w:b/>
          <w:bCs/>
          <w:sz w:val="24"/>
        </w:rPr>
      </w:pPr>
    </w:p>
    <w:p w14:paraId="6F1AFC88">
      <w:pPr>
        <w:spacing w:line="360" w:lineRule="auto"/>
        <w:rPr>
          <w:b/>
          <w:bCs/>
          <w:sz w:val="24"/>
        </w:rPr>
      </w:pPr>
    </w:p>
    <w:p w14:paraId="7956D494">
      <w:pPr>
        <w:spacing w:line="360" w:lineRule="auto"/>
        <w:rPr>
          <w:b/>
          <w:bCs/>
          <w:sz w:val="24"/>
        </w:rPr>
      </w:pPr>
    </w:p>
    <w:p w14:paraId="1326369E">
      <w:pPr>
        <w:spacing w:line="360" w:lineRule="auto"/>
        <w:rPr>
          <w:b/>
          <w:bCs/>
          <w:sz w:val="24"/>
        </w:rPr>
      </w:pPr>
    </w:p>
    <w:p w14:paraId="3C0A00D3">
      <w:pPr>
        <w:jc w:val="center"/>
        <w:rPr>
          <w:b/>
        </w:rPr>
      </w:pPr>
      <w:r>
        <w:rPr>
          <w:b/>
          <w:bCs/>
          <w:sz w:val="32"/>
          <w:szCs w:val="32"/>
          <w:highlight w:val="white"/>
        </w:rPr>
        <w:t xml:space="preserve">  </w:t>
      </w:r>
      <w:r>
        <w:rPr>
          <w:rFonts w:hAnsi="宋体"/>
          <w:b/>
          <w:bCs/>
          <w:sz w:val="32"/>
          <w:szCs w:val="32"/>
          <w:highlight w:val="white"/>
        </w:rPr>
        <w:t>住房和城乡建设部</w:t>
      </w:r>
    </w:p>
    <w:p w14:paraId="66CE65AF">
      <w:pPr>
        <w:jc w:val="center"/>
        <w:rPr>
          <w:b/>
          <w:sz w:val="32"/>
          <w:szCs w:val="32"/>
        </w:rPr>
      </w:pPr>
      <w:r>
        <w:rPr>
          <w:b/>
          <w:highlight w:val="white"/>
        </w:rPr>
        <w:t xml:space="preserve">                                               </w:t>
      </w:r>
      <w:r>
        <w:rPr>
          <w:rFonts w:hAnsi="宋体"/>
          <w:b/>
          <w:sz w:val="32"/>
          <w:szCs w:val="32"/>
          <w:highlight w:val="white"/>
        </w:rPr>
        <w:t>制定</w:t>
      </w:r>
    </w:p>
    <w:p w14:paraId="171FCBE9">
      <w:pPr>
        <w:jc w:val="center"/>
        <w:rPr>
          <w:b/>
        </w:rPr>
      </w:pPr>
      <w:r>
        <w:rPr>
          <w:b/>
          <w:bCs/>
          <w:sz w:val="32"/>
          <w:szCs w:val="32"/>
          <w:highlight w:val="white"/>
        </w:rPr>
        <w:t xml:space="preserve">   </w:t>
      </w:r>
      <w:r>
        <w:rPr>
          <w:rFonts w:hAnsi="宋体"/>
          <w:b/>
          <w:bCs/>
          <w:sz w:val="32"/>
          <w:szCs w:val="32"/>
          <w:highlight w:val="white"/>
        </w:rPr>
        <w:t>国家工商行政管理总局</w:t>
      </w:r>
    </w:p>
    <w:p w14:paraId="39DE5B3F">
      <w:r>
        <w:rPr>
          <w:highlight w:val="white"/>
        </w:rPr>
        <w:br w:type="page"/>
      </w:r>
    </w:p>
    <w:p w14:paraId="225F632B">
      <w:pPr>
        <w:pStyle w:val="3"/>
        <w:spacing w:before="340" w:after="330" w:line="240" w:lineRule="auto"/>
        <w:jc w:val="center"/>
      </w:pPr>
      <w:bookmarkStart w:id="0" w:name="_Toc256000094"/>
      <w:r>
        <w:rPr>
          <w:rFonts w:ascii="宋体" w:hAnsi="宋体" w:eastAsia="宋体"/>
          <w:highlight w:val="white"/>
        </w:rPr>
        <w:t>第一部分  协议书</w:t>
      </w:r>
      <w:bookmarkEnd w:id="0"/>
    </w:p>
    <w:p w14:paraId="406C35F3">
      <w:pPr>
        <w:rPr>
          <w:highlight w:val="red"/>
        </w:rPr>
      </w:pPr>
      <w:bookmarkStart w:id="1" w:name="EB67367740bbb6409c806748361d3fb226"/>
    </w:p>
    <w:p w14:paraId="125E7024">
      <w:pPr>
        <w:pStyle w:val="26"/>
        <w:adjustRightInd w:val="0"/>
        <w:snapToGrid w:val="0"/>
        <w:spacing w:line="360" w:lineRule="auto"/>
        <w:ind w:firstLine="422" w:firstLineChars="200"/>
        <w:rPr>
          <w:b/>
          <w:szCs w:val="21"/>
        </w:rPr>
      </w:pPr>
      <w:r>
        <w:rPr>
          <w:rFonts w:hint="eastAsia" w:ascii="宋体" w:hAnsi="宋体" w:cs="宋体"/>
          <w:b/>
          <w:szCs w:val="21"/>
          <w:lang w:bidi="ar"/>
        </w:rPr>
        <w:t>委托人（全称）：</w:t>
      </w:r>
      <w:r>
        <w:rPr>
          <w:rFonts w:hint="eastAsia" w:ascii="宋体" w:hAnsi="宋体" w:cs="宋体"/>
          <w:b/>
          <w:szCs w:val="21"/>
          <w:u w:val="single"/>
          <w:lang w:bidi="ar"/>
        </w:rPr>
        <w:t>广西中马钦州产业园区开发有限公司</w:t>
      </w:r>
    </w:p>
    <w:p w14:paraId="4C00C5C8">
      <w:pPr>
        <w:pStyle w:val="26"/>
        <w:adjustRightInd w:val="0"/>
        <w:snapToGrid w:val="0"/>
        <w:spacing w:line="360" w:lineRule="auto"/>
        <w:ind w:firstLine="422" w:firstLineChars="200"/>
        <w:rPr>
          <w:szCs w:val="21"/>
        </w:rPr>
      </w:pPr>
      <w:r>
        <w:rPr>
          <w:rFonts w:hint="eastAsia" w:ascii="宋体" w:hAnsi="宋体" w:cs="宋体"/>
          <w:b/>
          <w:szCs w:val="21"/>
          <w:lang w:bidi="ar"/>
        </w:rPr>
        <w:t>监理人（全称）：</w:t>
      </w:r>
      <w:r>
        <w:rPr>
          <w:rFonts w:hint="eastAsia" w:ascii="宋体" w:hAnsi="宋体" w:cs="宋体"/>
          <w:b/>
          <w:szCs w:val="21"/>
          <w:u w:val="single"/>
          <w:lang w:bidi="ar"/>
        </w:rPr>
        <w:t>*******公司</w:t>
      </w:r>
    </w:p>
    <w:p w14:paraId="54B0660B">
      <w:pPr>
        <w:pStyle w:val="26"/>
        <w:adjustRightInd w:val="0"/>
        <w:snapToGrid w:val="0"/>
        <w:spacing w:line="360" w:lineRule="auto"/>
        <w:ind w:firstLine="420" w:firstLineChars="200"/>
        <w:rPr>
          <w:b/>
          <w:szCs w:val="21"/>
        </w:rPr>
      </w:pPr>
      <w:r>
        <w:rPr>
          <w:rFonts w:hint="eastAsia" w:ascii="宋体" w:hAnsi="宋体" w:cs="宋体"/>
          <w:szCs w:val="21"/>
          <w:lang w:bidi="ar"/>
        </w:rPr>
        <w:t>根据《中华人民共和国民法典》、《中华人民共和国建筑法》及其他有关法律、法规，遵循平等、自愿、公平和诚信的原则，双方就下述工程委托监理与相关服务事项协商一致，订立本合同</w:t>
      </w:r>
      <w:r>
        <w:rPr>
          <w:rFonts w:hint="eastAsia" w:ascii="宋体" w:hAnsi="宋体" w:cs="宋体"/>
          <w:b/>
          <w:szCs w:val="21"/>
          <w:lang w:bidi="ar"/>
        </w:rPr>
        <w:t>。</w:t>
      </w:r>
    </w:p>
    <w:p w14:paraId="0E478C6A">
      <w:pPr>
        <w:pStyle w:val="26"/>
        <w:spacing w:line="360" w:lineRule="auto"/>
        <w:ind w:firstLine="422" w:firstLineChars="200"/>
        <w:outlineLvl w:val="0"/>
        <w:rPr>
          <w:b/>
          <w:szCs w:val="21"/>
        </w:rPr>
      </w:pPr>
      <w:bookmarkStart w:id="2" w:name="_Toc256000095"/>
      <w:r>
        <w:rPr>
          <w:rFonts w:hint="eastAsia" w:ascii="宋体" w:hAnsi="宋体" w:cs="宋体"/>
          <w:b/>
          <w:szCs w:val="21"/>
          <w:lang w:bidi="ar"/>
        </w:rPr>
        <w:t>一、工程概况</w:t>
      </w:r>
      <w:bookmarkEnd w:id="2"/>
    </w:p>
    <w:p w14:paraId="69E27EDE">
      <w:pPr>
        <w:pStyle w:val="26"/>
        <w:adjustRightInd w:val="0"/>
        <w:snapToGrid w:val="0"/>
        <w:spacing w:line="360" w:lineRule="auto"/>
        <w:ind w:firstLine="420" w:firstLineChars="200"/>
        <w:rPr>
          <w:rFonts w:ascii="宋体" w:hAnsi="宋体" w:cs="宋体"/>
          <w:szCs w:val="21"/>
          <w:u w:val="single"/>
          <w:lang w:bidi="ar"/>
        </w:rPr>
      </w:pPr>
      <w:r>
        <w:rPr>
          <w:szCs w:val="21"/>
          <w:lang w:bidi="ar"/>
        </w:rPr>
        <w:t>1.</w:t>
      </w:r>
      <w:r>
        <w:rPr>
          <w:rFonts w:hint="eastAsia" w:ascii="宋体" w:hAnsi="宋体" w:cs="宋体"/>
          <w:szCs w:val="21"/>
          <w:lang w:bidi="ar"/>
        </w:rPr>
        <w:t>项目名称：</w:t>
      </w:r>
      <w:r>
        <w:rPr>
          <w:rFonts w:hint="eastAsia" w:ascii="宋体" w:hAnsi="宋体" w:cs="宋体"/>
          <w:szCs w:val="21"/>
          <w:u w:val="single"/>
          <w:lang w:bidi="ar"/>
        </w:rPr>
        <w:t>中国—马来西亚钦州产业园区马淑路（东段）工程二标段</w:t>
      </w:r>
    </w:p>
    <w:p w14:paraId="312A0BFA">
      <w:pPr>
        <w:pStyle w:val="26"/>
        <w:adjustRightInd w:val="0"/>
        <w:snapToGrid w:val="0"/>
        <w:spacing w:line="360" w:lineRule="auto"/>
        <w:ind w:firstLine="420" w:firstLineChars="200"/>
        <w:rPr>
          <w:rFonts w:ascii="宋体" w:hAnsi="宋体" w:cs="宋体"/>
          <w:szCs w:val="21"/>
          <w:u w:val="single"/>
          <w:lang w:bidi="ar"/>
        </w:rPr>
      </w:pPr>
      <w:r>
        <w:rPr>
          <w:szCs w:val="21"/>
          <w:lang w:bidi="ar"/>
        </w:rPr>
        <w:t>2.</w:t>
      </w:r>
      <w:r>
        <w:rPr>
          <w:rFonts w:hint="eastAsia" w:ascii="宋体" w:hAnsi="宋体" w:cs="宋体"/>
          <w:szCs w:val="21"/>
          <w:lang w:bidi="ar"/>
        </w:rPr>
        <w:t>工程地点：</w:t>
      </w:r>
      <w:r>
        <w:rPr>
          <w:rFonts w:hint="eastAsia" w:ascii="宋体" w:hAnsi="宋体" w:cs="宋体"/>
          <w:szCs w:val="21"/>
          <w:u w:val="single"/>
          <w:lang w:val="en-US" w:eastAsia="zh-CN" w:bidi="ar"/>
        </w:rPr>
        <w:t>中国一马来西亚钦州产业园区马淑路(东段)工程二标段由西向东，西起丹二路交叉口，东至锦绣大道交叉口</w:t>
      </w:r>
      <w:r>
        <w:rPr>
          <w:rFonts w:hint="eastAsia" w:ascii="宋体" w:hAnsi="宋体" w:cs="宋体"/>
          <w:szCs w:val="21"/>
          <w:u w:val="single"/>
          <w:lang w:bidi="ar"/>
        </w:rPr>
        <w:t>路。</w:t>
      </w:r>
    </w:p>
    <w:p w14:paraId="351A3CEE">
      <w:pPr>
        <w:pStyle w:val="26"/>
        <w:adjustRightInd w:val="0"/>
        <w:snapToGrid w:val="0"/>
        <w:spacing w:line="360" w:lineRule="auto"/>
        <w:ind w:firstLine="420" w:firstLineChars="200"/>
        <w:rPr>
          <w:rFonts w:ascii="宋体" w:hAnsi="宋体" w:cs="宋体"/>
          <w:szCs w:val="21"/>
          <w:u w:val="single"/>
          <w:lang w:bidi="ar"/>
        </w:rPr>
      </w:pPr>
      <w:r>
        <w:rPr>
          <w:szCs w:val="21"/>
          <w:lang w:bidi="ar"/>
        </w:rPr>
        <w:t>3.</w:t>
      </w:r>
      <w:r>
        <w:rPr>
          <w:rFonts w:hint="eastAsia" w:ascii="宋体" w:hAnsi="宋体" w:cs="宋体"/>
          <w:szCs w:val="21"/>
          <w:lang w:bidi="ar"/>
        </w:rPr>
        <w:t>工程规模：</w:t>
      </w:r>
      <w:r>
        <w:rPr>
          <w:rFonts w:hint="eastAsia" w:ascii="Times New Roman" w:hAnsi="Times New Roman"/>
          <w:color w:val="000000" w:themeColor="text1"/>
          <w:szCs w:val="21"/>
          <w:u w:val="single"/>
          <w14:textFill>
            <w14:solidFill>
              <w14:schemeClr w14:val="tx1"/>
            </w14:solidFill>
          </w14:textFill>
        </w:rPr>
        <w:t>道路沿线由西向东依次与丹二路、友谊大道、锦绣大道相交。道路红线宽度45m，路线全长955.902m，扣除交叉口范围后，实施长度821.562m，为城市主干路。主要工程内容包括道路、给排水工程、强弱电管沟预埋、照明、交通、绿化及附属</w:t>
      </w:r>
      <w:r>
        <w:rPr>
          <w:rFonts w:hint="eastAsia" w:ascii="宋体" w:hAnsi="宋体" w:cs="宋体"/>
          <w:szCs w:val="21"/>
          <w:u w:val="single"/>
          <w:lang w:bidi="ar"/>
        </w:rPr>
        <w:t>工程等。</w:t>
      </w:r>
    </w:p>
    <w:p w14:paraId="4AA03866">
      <w:pPr>
        <w:pStyle w:val="26"/>
        <w:adjustRightInd w:val="0"/>
        <w:snapToGrid w:val="0"/>
        <w:spacing w:line="360" w:lineRule="auto"/>
        <w:ind w:firstLine="420" w:firstLineChars="200"/>
        <w:rPr>
          <w:rFonts w:ascii="宋体" w:hAnsi="宋体" w:cs="宋体"/>
          <w:szCs w:val="21"/>
        </w:rPr>
      </w:pPr>
      <w:r>
        <w:rPr>
          <w:szCs w:val="21"/>
          <w:lang w:bidi="ar"/>
        </w:rPr>
        <w:t>4.</w:t>
      </w:r>
      <w:r>
        <w:rPr>
          <w:rFonts w:hint="eastAsia" w:ascii="宋体" w:hAnsi="宋体" w:cs="宋体"/>
          <w:szCs w:val="21"/>
          <w:lang w:bidi="ar"/>
        </w:rPr>
        <w:t>监理范围：中国—马来西亚钦州产业园区马淑路（东段）工程二标段的施工、保修阶段监理。上述施工监理内容均包含质量控制、进度投资合同管理、信息安全监督及现场组织协调。</w:t>
      </w:r>
    </w:p>
    <w:p w14:paraId="7FA074E5">
      <w:pPr>
        <w:pStyle w:val="26"/>
        <w:adjustRightInd w:val="0"/>
        <w:snapToGrid w:val="0"/>
        <w:spacing w:line="360" w:lineRule="auto"/>
        <w:ind w:firstLine="420" w:firstLineChars="200"/>
        <w:jc w:val="left"/>
        <w:rPr>
          <w:szCs w:val="21"/>
        </w:rPr>
      </w:pPr>
      <w:r>
        <w:rPr>
          <w:szCs w:val="21"/>
          <w:lang w:bidi="ar"/>
        </w:rPr>
        <w:t>5.</w:t>
      </w:r>
      <w:r>
        <w:rPr>
          <w:rFonts w:hint="eastAsia" w:ascii="宋体" w:hAnsi="宋体" w:cs="宋体"/>
          <w:szCs w:val="21"/>
          <w:lang w:bidi="ar"/>
        </w:rPr>
        <w:t>工程</w:t>
      </w:r>
      <w:r>
        <w:rPr>
          <w:rFonts w:hint="eastAsia" w:ascii="宋体" w:hAnsi="宋体" w:cs="宋体"/>
          <w:kern w:val="0"/>
          <w:szCs w:val="21"/>
          <w:lang w:bidi="ar"/>
        </w:rPr>
        <w:t>概算投资额（或建筑安装工程费）</w:t>
      </w:r>
      <w:r>
        <w:rPr>
          <w:rFonts w:hint="eastAsia" w:ascii="宋体" w:hAnsi="宋体" w:cs="宋体"/>
          <w:szCs w:val="21"/>
          <w:lang w:bidi="ar"/>
        </w:rPr>
        <w:t>：</w:t>
      </w:r>
      <w:r>
        <w:rPr>
          <w:rFonts w:hint="eastAsia" w:ascii="Times New Roman" w:hAnsi="Times New Roman"/>
          <w:color w:val="000000" w:themeColor="text1"/>
          <w:szCs w:val="21"/>
          <w:u w:val="single"/>
          <w14:textFill>
            <w14:solidFill>
              <w14:schemeClr w14:val="tx1"/>
            </w14:solidFill>
          </w14:textFill>
        </w:rPr>
        <w:t xml:space="preserve">7544.69 </w:t>
      </w:r>
      <w:r>
        <w:rPr>
          <w:rFonts w:hint="eastAsia" w:ascii="宋体" w:hAnsi="宋体" w:cs="宋体"/>
          <w:szCs w:val="21"/>
          <w:u w:val="single"/>
          <w:lang w:bidi="ar"/>
        </w:rPr>
        <w:t>万</w:t>
      </w:r>
      <w:r>
        <w:rPr>
          <w:rFonts w:hint="eastAsia"/>
          <w:u w:val="single"/>
        </w:rPr>
        <w:t>元</w:t>
      </w:r>
      <w:r>
        <w:rPr>
          <w:rFonts w:hint="eastAsia" w:ascii="宋体" w:hAnsi="宋体" w:cs="宋体"/>
          <w:szCs w:val="21"/>
          <w:lang w:bidi="ar"/>
        </w:rPr>
        <w:t>。</w:t>
      </w:r>
    </w:p>
    <w:p w14:paraId="49B17F36">
      <w:pPr>
        <w:pStyle w:val="26"/>
        <w:spacing w:line="360" w:lineRule="auto"/>
        <w:ind w:firstLine="422" w:firstLineChars="200"/>
        <w:outlineLvl w:val="0"/>
        <w:rPr>
          <w:b/>
          <w:szCs w:val="21"/>
        </w:rPr>
      </w:pPr>
      <w:bookmarkStart w:id="3" w:name="_Toc256000096"/>
      <w:r>
        <w:rPr>
          <w:rFonts w:hint="eastAsia" w:ascii="宋体" w:hAnsi="宋体" w:cs="宋体"/>
          <w:b/>
          <w:szCs w:val="21"/>
          <w:lang w:bidi="ar"/>
        </w:rPr>
        <w:t>二、词语限定</w:t>
      </w:r>
      <w:bookmarkEnd w:id="3"/>
    </w:p>
    <w:p w14:paraId="396A046C">
      <w:pPr>
        <w:pStyle w:val="26"/>
        <w:adjustRightInd w:val="0"/>
        <w:snapToGrid w:val="0"/>
        <w:spacing w:line="360" w:lineRule="auto"/>
        <w:ind w:firstLine="420" w:firstLineChars="200"/>
        <w:rPr>
          <w:szCs w:val="21"/>
        </w:rPr>
      </w:pPr>
      <w:r>
        <w:rPr>
          <w:rFonts w:hint="eastAsia" w:ascii="宋体" w:hAnsi="宋体" w:cs="宋体"/>
          <w:szCs w:val="21"/>
          <w:lang w:bidi="ar"/>
        </w:rPr>
        <w:t>协议书中相关词语的含义与通用条件中的定义与解释相同。</w:t>
      </w:r>
    </w:p>
    <w:p w14:paraId="333879DA">
      <w:pPr>
        <w:pStyle w:val="26"/>
        <w:spacing w:line="360" w:lineRule="auto"/>
        <w:ind w:firstLine="422" w:firstLineChars="200"/>
        <w:outlineLvl w:val="0"/>
        <w:rPr>
          <w:b/>
          <w:szCs w:val="21"/>
        </w:rPr>
      </w:pPr>
      <w:bookmarkStart w:id="4" w:name="_Toc256000097"/>
      <w:r>
        <w:rPr>
          <w:rFonts w:hint="eastAsia" w:ascii="宋体" w:hAnsi="宋体" w:cs="宋体"/>
          <w:b/>
          <w:szCs w:val="21"/>
          <w:lang w:bidi="ar"/>
        </w:rPr>
        <w:t>三、组成本合同的文件</w:t>
      </w:r>
      <w:bookmarkEnd w:id="4"/>
    </w:p>
    <w:p w14:paraId="18A77923">
      <w:pPr>
        <w:pStyle w:val="26"/>
        <w:adjustRightInd w:val="0"/>
        <w:snapToGrid w:val="0"/>
        <w:spacing w:line="360" w:lineRule="auto"/>
        <w:ind w:firstLine="420" w:firstLineChars="200"/>
        <w:rPr>
          <w:rFonts w:ascii="宋体" w:hAnsi="宋体" w:cs="宋体"/>
          <w:szCs w:val="21"/>
        </w:rPr>
      </w:pPr>
      <w:r>
        <w:rPr>
          <w:szCs w:val="21"/>
          <w:lang w:bidi="ar"/>
        </w:rPr>
        <w:t>1.</w:t>
      </w:r>
      <w:r>
        <w:rPr>
          <w:rFonts w:hint="eastAsia" w:ascii="宋体" w:hAnsi="宋体" w:cs="宋体"/>
          <w:szCs w:val="21"/>
          <w:lang w:bidi="ar"/>
        </w:rPr>
        <w:t>协议书；</w:t>
      </w:r>
    </w:p>
    <w:p w14:paraId="6BDEFE7E">
      <w:pPr>
        <w:pStyle w:val="26"/>
        <w:adjustRightInd w:val="0"/>
        <w:snapToGrid w:val="0"/>
        <w:spacing w:line="360" w:lineRule="auto"/>
        <w:ind w:firstLine="420" w:firstLineChars="200"/>
        <w:rPr>
          <w:rFonts w:ascii="宋体" w:hAnsi="宋体" w:cs="宋体"/>
          <w:szCs w:val="21"/>
        </w:rPr>
      </w:pPr>
      <w:r>
        <w:rPr>
          <w:szCs w:val="21"/>
          <w:lang w:bidi="ar"/>
        </w:rPr>
        <w:t>2.</w:t>
      </w:r>
      <w:r>
        <w:rPr>
          <w:rFonts w:hint="eastAsia" w:ascii="宋体" w:hAnsi="宋体" w:cs="宋体"/>
          <w:szCs w:val="21"/>
          <w:lang w:bidi="ar"/>
        </w:rPr>
        <w:t>中选通知书；</w:t>
      </w:r>
    </w:p>
    <w:p w14:paraId="64D60C40">
      <w:pPr>
        <w:pStyle w:val="26"/>
        <w:adjustRightInd w:val="0"/>
        <w:snapToGrid w:val="0"/>
        <w:spacing w:line="360" w:lineRule="auto"/>
        <w:ind w:firstLine="420" w:firstLineChars="200"/>
        <w:rPr>
          <w:rFonts w:ascii="宋体" w:hAnsi="宋体" w:cs="宋体"/>
          <w:szCs w:val="21"/>
        </w:rPr>
      </w:pPr>
      <w:r>
        <w:rPr>
          <w:szCs w:val="21"/>
          <w:lang w:bidi="ar"/>
        </w:rPr>
        <w:t>3.</w:t>
      </w:r>
      <w:r>
        <w:rPr>
          <w:rFonts w:hint="eastAsia" w:ascii="宋体" w:hAnsi="宋体" w:cs="宋体"/>
          <w:szCs w:val="21"/>
          <w:lang w:bidi="ar"/>
        </w:rPr>
        <w:t>报价文件；</w:t>
      </w:r>
    </w:p>
    <w:p w14:paraId="02A0E36C">
      <w:pPr>
        <w:pStyle w:val="26"/>
        <w:adjustRightInd w:val="0"/>
        <w:snapToGrid w:val="0"/>
        <w:spacing w:line="360" w:lineRule="auto"/>
        <w:ind w:firstLine="420" w:firstLineChars="200"/>
        <w:rPr>
          <w:szCs w:val="21"/>
        </w:rPr>
      </w:pPr>
      <w:r>
        <w:rPr>
          <w:szCs w:val="21"/>
          <w:lang w:bidi="ar"/>
        </w:rPr>
        <w:t>4.</w:t>
      </w:r>
      <w:r>
        <w:rPr>
          <w:rFonts w:hint="eastAsia" w:ascii="宋体" w:hAnsi="宋体" w:cs="宋体"/>
          <w:szCs w:val="21"/>
          <w:lang w:bidi="ar"/>
        </w:rPr>
        <w:t>专用条件；</w:t>
      </w:r>
    </w:p>
    <w:p w14:paraId="7141567C">
      <w:pPr>
        <w:pStyle w:val="26"/>
        <w:adjustRightInd w:val="0"/>
        <w:snapToGrid w:val="0"/>
        <w:spacing w:line="360" w:lineRule="auto"/>
        <w:ind w:firstLine="420" w:firstLineChars="200"/>
        <w:rPr>
          <w:rFonts w:ascii="宋体" w:hAnsi="宋体" w:cs="宋体"/>
          <w:szCs w:val="21"/>
        </w:rPr>
      </w:pPr>
      <w:r>
        <w:rPr>
          <w:szCs w:val="21"/>
          <w:lang w:bidi="ar"/>
        </w:rPr>
        <w:t>5.</w:t>
      </w:r>
      <w:r>
        <w:rPr>
          <w:rFonts w:hint="eastAsia" w:ascii="宋体" w:hAnsi="宋体" w:cs="宋体"/>
          <w:szCs w:val="21"/>
          <w:lang w:bidi="ar"/>
        </w:rPr>
        <w:t>通用条件；</w:t>
      </w:r>
    </w:p>
    <w:p w14:paraId="729FD25A">
      <w:pPr>
        <w:pStyle w:val="26"/>
        <w:adjustRightInd w:val="0"/>
        <w:snapToGrid w:val="0"/>
        <w:spacing w:line="360" w:lineRule="auto"/>
        <w:ind w:firstLine="420" w:firstLineChars="200"/>
        <w:rPr>
          <w:szCs w:val="21"/>
        </w:rPr>
      </w:pPr>
      <w:r>
        <w:rPr>
          <w:szCs w:val="21"/>
          <w:lang w:bidi="ar"/>
        </w:rPr>
        <w:t>6.</w:t>
      </w:r>
      <w:r>
        <w:rPr>
          <w:rFonts w:hint="eastAsia" w:ascii="宋体" w:hAnsi="宋体" w:cs="宋体"/>
          <w:szCs w:val="21"/>
          <w:lang w:bidi="ar"/>
        </w:rPr>
        <w:t>附录，即：</w:t>
      </w:r>
    </w:p>
    <w:p w14:paraId="7855A879">
      <w:pPr>
        <w:pStyle w:val="26"/>
        <w:adjustRightInd w:val="0"/>
        <w:snapToGrid w:val="0"/>
        <w:spacing w:line="360" w:lineRule="auto"/>
        <w:ind w:firstLine="420" w:firstLineChars="200"/>
        <w:rPr>
          <w:szCs w:val="21"/>
        </w:rPr>
      </w:pPr>
      <w:r>
        <w:rPr>
          <w:rFonts w:hint="eastAsia" w:ascii="宋体" w:hAnsi="宋体" w:cs="宋体"/>
          <w:szCs w:val="21"/>
          <w:lang w:bidi="ar"/>
        </w:rPr>
        <w:t>附录</w:t>
      </w:r>
      <w:r>
        <w:rPr>
          <w:szCs w:val="21"/>
          <w:lang w:bidi="ar"/>
        </w:rPr>
        <w:t xml:space="preserve">A  </w:t>
      </w:r>
      <w:r>
        <w:rPr>
          <w:rFonts w:hint="eastAsia" w:ascii="宋体" w:hAnsi="宋体" w:cs="宋体"/>
          <w:szCs w:val="21"/>
          <w:lang w:bidi="ar"/>
        </w:rPr>
        <w:t>相关服务的范围和内容</w:t>
      </w:r>
    </w:p>
    <w:p w14:paraId="092D2BD0">
      <w:pPr>
        <w:pStyle w:val="26"/>
        <w:adjustRightInd w:val="0"/>
        <w:snapToGrid w:val="0"/>
        <w:spacing w:line="360" w:lineRule="auto"/>
        <w:ind w:firstLine="420" w:firstLineChars="200"/>
        <w:rPr>
          <w:szCs w:val="21"/>
        </w:rPr>
      </w:pPr>
      <w:r>
        <w:rPr>
          <w:rFonts w:hint="eastAsia" w:ascii="宋体" w:hAnsi="宋体" w:cs="宋体"/>
          <w:szCs w:val="21"/>
          <w:lang w:bidi="ar"/>
        </w:rPr>
        <w:t>附录</w:t>
      </w:r>
      <w:r>
        <w:rPr>
          <w:szCs w:val="21"/>
          <w:lang w:bidi="ar"/>
        </w:rPr>
        <w:t xml:space="preserve">B  </w:t>
      </w:r>
      <w:r>
        <w:rPr>
          <w:rFonts w:hint="eastAsia" w:ascii="宋体" w:hAnsi="宋体" w:cs="宋体"/>
          <w:szCs w:val="21"/>
          <w:lang w:bidi="ar"/>
        </w:rPr>
        <w:t>委托人派遣的人员和提供的</w:t>
      </w:r>
      <w:r>
        <w:rPr>
          <w:rFonts w:hint="eastAsia" w:ascii="宋体" w:hAnsi="宋体" w:cs="宋体"/>
          <w:bCs/>
          <w:szCs w:val="21"/>
          <w:lang w:bidi="ar"/>
        </w:rPr>
        <w:t>房屋、资料</w:t>
      </w:r>
      <w:r>
        <w:rPr>
          <w:rFonts w:hint="eastAsia" w:ascii="宋体" w:hAnsi="宋体" w:cs="宋体"/>
          <w:szCs w:val="21"/>
          <w:lang w:bidi="ar"/>
        </w:rPr>
        <w:t>、设备</w:t>
      </w:r>
    </w:p>
    <w:p w14:paraId="24F675CC">
      <w:pPr>
        <w:pStyle w:val="26"/>
        <w:adjustRightInd w:val="0"/>
        <w:snapToGrid w:val="0"/>
        <w:spacing w:line="360" w:lineRule="auto"/>
        <w:ind w:firstLine="420" w:firstLineChars="200"/>
        <w:rPr>
          <w:szCs w:val="21"/>
        </w:rPr>
      </w:pPr>
      <w:r>
        <w:rPr>
          <w:rFonts w:hint="eastAsia" w:ascii="宋体" w:hAnsi="宋体" w:cs="宋体"/>
          <w:szCs w:val="21"/>
          <w:lang w:bidi="ar"/>
        </w:rPr>
        <w:t>本合同签订后，双方依法签订的补充协议也是本合同文件的组成部分。</w:t>
      </w:r>
    </w:p>
    <w:p w14:paraId="1E11E588">
      <w:pPr>
        <w:pStyle w:val="26"/>
        <w:spacing w:line="360" w:lineRule="auto"/>
        <w:ind w:firstLine="422" w:firstLineChars="200"/>
        <w:outlineLvl w:val="0"/>
        <w:rPr>
          <w:b/>
          <w:szCs w:val="21"/>
        </w:rPr>
      </w:pPr>
      <w:bookmarkStart w:id="5" w:name="_Toc256000098"/>
      <w:r>
        <w:rPr>
          <w:rFonts w:hint="eastAsia" w:ascii="宋体" w:hAnsi="宋体" w:cs="宋体"/>
          <w:b/>
          <w:szCs w:val="21"/>
          <w:lang w:bidi="ar"/>
        </w:rPr>
        <w:t>四、总监理工程师</w:t>
      </w:r>
      <w:bookmarkEnd w:id="5"/>
    </w:p>
    <w:p w14:paraId="2F9F64C1">
      <w:pPr>
        <w:pStyle w:val="26"/>
        <w:adjustRightInd w:val="0"/>
        <w:snapToGrid w:val="0"/>
        <w:spacing w:line="360" w:lineRule="auto"/>
        <w:ind w:firstLine="420" w:firstLineChars="200"/>
        <w:rPr>
          <w:rFonts w:ascii="宋体" w:hAnsi="宋体" w:cs="宋体"/>
          <w:kern w:val="0"/>
          <w:szCs w:val="21"/>
        </w:rPr>
      </w:pPr>
      <w:r>
        <w:rPr>
          <w:rFonts w:hint="eastAsia" w:ascii="宋体" w:hAnsi="宋体" w:cs="宋体"/>
          <w:kern w:val="0"/>
          <w:szCs w:val="21"/>
          <w:lang w:bidi="ar"/>
        </w:rPr>
        <w:t>总监理工程师姓名：</w:t>
      </w:r>
      <w:r>
        <w:rPr>
          <w:rFonts w:hint="eastAsia"/>
          <w:kern w:val="0"/>
          <w:szCs w:val="21"/>
          <w:u w:val="single"/>
          <w:lang w:bidi="ar"/>
        </w:rPr>
        <w:t xml:space="preserve"> ****</w:t>
      </w:r>
      <w:r>
        <w:rPr>
          <w:kern w:val="0"/>
          <w:szCs w:val="21"/>
          <w:u w:val="single"/>
          <w:lang w:bidi="ar"/>
        </w:rPr>
        <w:t xml:space="preserve"> </w:t>
      </w:r>
      <w:r>
        <w:rPr>
          <w:rFonts w:hint="eastAsia" w:ascii="宋体" w:hAnsi="宋体" w:cs="宋体"/>
          <w:kern w:val="0"/>
          <w:szCs w:val="21"/>
          <w:lang w:bidi="ar"/>
        </w:rPr>
        <w:t>，身份证号码：</w:t>
      </w:r>
      <w:r>
        <w:rPr>
          <w:kern w:val="0"/>
          <w:szCs w:val="21"/>
          <w:u w:val="single"/>
          <w:lang w:bidi="ar"/>
        </w:rPr>
        <w:t xml:space="preserve"> </w:t>
      </w:r>
      <w:r>
        <w:rPr>
          <w:rFonts w:hint="eastAsia"/>
          <w:kern w:val="0"/>
          <w:szCs w:val="21"/>
          <w:u w:val="single"/>
          <w:lang w:bidi="ar"/>
        </w:rPr>
        <w:t>*****</w:t>
      </w:r>
      <w:r>
        <w:rPr>
          <w:kern w:val="0"/>
          <w:szCs w:val="21"/>
          <w:u w:val="single"/>
          <w:lang w:bidi="ar"/>
        </w:rPr>
        <w:t xml:space="preserve"> </w:t>
      </w:r>
      <w:r>
        <w:rPr>
          <w:rFonts w:hint="eastAsia" w:ascii="宋体" w:hAnsi="宋体" w:cs="宋体"/>
          <w:kern w:val="0"/>
          <w:szCs w:val="21"/>
          <w:lang w:bidi="ar"/>
        </w:rPr>
        <w:t>，注册号：</w:t>
      </w:r>
      <w:r>
        <w:rPr>
          <w:kern w:val="0"/>
          <w:szCs w:val="21"/>
          <w:u w:val="single"/>
          <w:lang w:bidi="ar"/>
        </w:rPr>
        <w:t xml:space="preserve"> </w:t>
      </w:r>
      <w:r>
        <w:rPr>
          <w:rFonts w:hint="eastAsia"/>
          <w:kern w:val="0"/>
          <w:szCs w:val="21"/>
          <w:u w:val="single"/>
          <w:lang w:bidi="ar"/>
        </w:rPr>
        <w:t>*****</w:t>
      </w:r>
      <w:r>
        <w:rPr>
          <w:kern w:val="0"/>
          <w:szCs w:val="21"/>
          <w:u w:val="single"/>
          <w:lang w:bidi="ar"/>
        </w:rPr>
        <w:t xml:space="preserve"> </w:t>
      </w:r>
      <w:r>
        <w:rPr>
          <w:rFonts w:hint="eastAsia" w:ascii="宋体" w:hAnsi="宋体" w:cs="宋体"/>
          <w:kern w:val="0"/>
          <w:szCs w:val="21"/>
          <w:lang w:bidi="ar"/>
        </w:rPr>
        <w:t>。</w:t>
      </w:r>
    </w:p>
    <w:p w14:paraId="10E90B7F">
      <w:pPr>
        <w:pStyle w:val="26"/>
        <w:spacing w:line="360" w:lineRule="auto"/>
        <w:ind w:firstLine="422" w:firstLineChars="200"/>
        <w:outlineLvl w:val="0"/>
        <w:rPr>
          <w:b/>
          <w:szCs w:val="21"/>
        </w:rPr>
      </w:pPr>
      <w:bookmarkStart w:id="6" w:name="_Toc256000099"/>
      <w:r>
        <w:rPr>
          <w:rFonts w:hint="eastAsia" w:ascii="宋体" w:hAnsi="宋体" w:cs="宋体"/>
          <w:b/>
          <w:szCs w:val="21"/>
          <w:lang w:bidi="ar"/>
        </w:rPr>
        <w:t>五、签约</w:t>
      </w:r>
      <w:r>
        <w:rPr>
          <w:rFonts w:hint="eastAsia" w:ascii="宋体" w:hAnsi="宋体" w:cs="宋体"/>
          <w:b/>
          <w:szCs w:val="21"/>
          <w:lang w:val="en-US" w:eastAsia="zh-CN" w:bidi="ar"/>
        </w:rPr>
        <w:t>监理费</w:t>
      </w:r>
      <w:bookmarkEnd w:id="6"/>
    </w:p>
    <w:p w14:paraId="576AB045">
      <w:pPr>
        <w:pStyle w:val="26"/>
        <w:adjustRightInd w:val="0"/>
        <w:snapToGrid w:val="0"/>
        <w:spacing w:line="360" w:lineRule="auto"/>
        <w:ind w:firstLine="420" w:firstLineChars="200"/>
        <w:rPr>
          <w:szCs w:val="21"/>
        </w:rPr>
      </w:pPr>
      <w:r>
        <w:rPr>
          <w:rFonts w:hint="eastAsia" w:ascii="宋体" w:hAnsi="宋体" w:cs="宋体"/>
          <w:kern w:val="0"/>
          <w:szCs w:val="21"/>
          <w:lang w:bidi="ar"/>
        </w:rPr>
        <w:t>暂定监理</w:t>
      </w:r>
      <w:r>
        <w:rPr>
          <w:rFonts w:hint="eastAsia" w:ascii="宋体" w:hAnsi="宋体" w:cs="宋体"/>
          <w:kern w:val="0"/>
          <w:szCs w:val="21"/>
          <w:lang w:val="en-US" w:eastAsia="zh-CN" w:bidi="ar"/>
        </w:rPr>
        <w:t>费包干总价</w:t>
      </w:r>
      <w:r>
        <w:rPr>
          <w:rFonts w:hint="eastAsia" w:ascii="宋体" w:hAnsi="宋体" w:cs="宋体"/>
          <w:szCs w:val="21"/>
          <w:lang w:bidi="ar"/>
        </w:rPr>
        <w:t>（大写）：</w:t>
      </w:r>
      <w:r>
        <w:rPr>
          <w:rFonts w:hint="eastAsia" w:hAnsi="宋体"/>
          <w:kern w:val="0"/>
          <w:szCs w:val="21"/>
          <w:u w:val="single"/>
          <w:lang w:bidi="ar"/>
        </w:rPr>
        <w:t xml:space="preserve"> *******</w:t>
      </w:r>
      <w:r>
        <w:rPr>
          <w:rFonts w:hAnsi="宋体"/>
          <w:kern w:val="0"/>
          <w:szCs w:val="21"/>
          <w:u w:val="single"/>
          <w:lang w:bidi="ar"/>
        </w:rPr>
        <w:t xml:space="preserve"> </w:t>
      </w:r>
    </w:p>
    <w:p w14:paraId="32F93C8E">
      <w:pPr>
        <w:pStyle w:val="26"/>
        <w:adjustRightInd w:val="0"/>
        <w:snapToGrid w:val="0"/>
        <w:spacing w:line="360" w:lineRule="auto"/>
        <w:ind w:firstLine="420" w:firstLineChars="200"/>
        <w:rPr>
          <w:szCs w:val="21"/>
        </w:rPr>
      </w:pPr>
      <w:r>
        <w:rPr>
          <w:rFonts w:hint="eastAsia" w:ascii="宋体" w:hAnsi="宋体" w:cs="宋体"/>
          <w:szCs w:val="21"/>
          <w:lang w:bidi="ar"/>
        </w:rPr>
        <w:t>包括：</w:t>
      </w:r>
    </w:p>
    <w:p w14:paraId="1E94E63C">
      <w:pPr>
        <w:pStyle w:val="26"/>
        <w:adjustRightInd w:val="0"/>
        <w:snapToGrid w:val="0"/>
        <w:spacing w:line="360" w:lineRule="auto"/>
        <w:ind w:firstLine="420" w:firstLineChars="200"/>
        <w:rPr>
          <w:szCs w:val="21"/>
        </w:rPr>
      </w:pPr>
      <w:r>
        <w:rPr>
          <w:szCs w:val="21"/>
          <w:lang w:bidi="ar"/>
        </w:rPr>
        <w:t>1.</w:t>
      </w:r>
      <w:r>
        <w:rPr>
          <w:rFonts w:hint="eastAsia" w:ascii="宋体" w:hAnsi="宋体" w:cs="宋体"/>
          <w:szCs w:val="21"/>
          <w:lang w:bidi="ar"/>
        </w:rPr>
        <w:t>施工阶段监理</w:t>
      </w:r>
      <w:r>
        <w:rPr>
          <w:rFonts w:hint="eastAsia" w:ascii="宋体" w:hAnsi="宋体" w:cs="宋体"/>
          <w:szCs w:val="21"/>
          <w:lang w:val="en-US" w:eastAsia="zh-CN" w:bidi="ar"/>
        </w:rPr>
        <w:t>费</w:t>
      </w:r>
      <w:r>
        <w:rPr>
          <w:rFonts w:hint="eastAsia" w:ascii="宋体" w:hAnsi="宋体" w:cs="宋体"/>
          <w:szCs w:val="21"/>
          <w:lang w:bidi="ar"/>
        </w:rPr>
        <w:t>：</w:t>
      </w:r>
      <w:r>
        <w:rPr>
          <w:szCs w:val="21"/>
          <w:u w:val="single"/>
          <w:lang w:bidi="ar"/>
        </w:rPr>
        <w:t xml:space="preserve">            /            </w:t>
      </w:r>
      <w:r>
        <w:rPr>
          <w:rFonts w:hint="eastAsia" w:ascii="宋体" w:hAnsi="宋体" w:cs="宋体"/>
          <w:szCs w:val="21"/>
          <w:lang w:bidi="ar"/>
        </w:rPr>
        <w:t>。</w:t>
      </w:r>
    </w:p>
    <w:p w14:paraId="51514CAF">
      <w:pPr>
        <w:pStyle w:val="26"/>
        <w:adjustRightInd w:val="0"/>
        <w:snapToGrid w:val="0"/>
        <w:spacing w:line="360" w:lineRule="auto"/>
        <w:ind w:firstLine="420" w:firstLineChars="200"/>
        <w:rPr>
          <w:szCs w:val="21"/>
        </w:rPr>
      </w:pPr>
      <w:r>
        <w:rPr>
          <w:szCs w:val="21"/>
          <w:lang w:bidi="ar"/>
        </w:rPr>
        <w:t>2.</w:t>
      </w:r>
      <w:r>
        <w:rPr>
          <w:rFonts w:hint="eastAsia" w:ascii="宋体" w:hAnsi="宋体" w:cs="宋体"/>
          <w:szCs w:val="21"/>
          <w:lang w:bidi="ar"/>
        </w:rPr>
        <w:t>相关服务</w:t>
      </w:r>
      <w:r>
        <w:rPr>
          <w:rFonts w:hint="eastAsia" w:ascii="宋体" w:hAnsi="宋体" w:cs="宋体"/>
          <w:szCs w:val="21"/>
          <w:lang w:val="en-US" w:eastAsia="zh-CN" w:bidi="ar"/>
        </w:rPr>
        <w:t>监理费</w:t>
      </w:r>
      <w:r>
        <w:rPr>
          <w:rFonts w:hint="eastAsia" w:ascii="宋体" w:hAnsi="宋体" w:cs="宋体"/>
          <w:szCs w:val="21"/>
          <w:lang w:bidi="ar"/>
        </w:rPr>
        <w:t>：</w:t>
      </w:r>
      <w:r>
        <w:rPr>
          <w:szCs w:val="21"/>
          <w:u w:val="single"/>
          <w:lang w:bidi="ar"/>
        </w:rPr>
        <w:t xml:space="preserve">            </w:t>
      </w:r>
      <w:r>
        <w:rPr>
          <w:rFonts w:hint="eastAsia" w:ascii="宋体" w:hAnsi="宋体" w:cs="宋体"/>
          <w:szCs w:val="21"/>
          <w:u w:val="single"/>
          <w:lang w:bidi="ar"/>
        </w:rPr>
        <w:t xml:space="preserve">  </w:t>
      </w:r>
      <w:r>
        <w:rPr>
          <w:rFonts w:ascii="宋体" w:hAnsi="宋体" w:cs="宋体"/>
          <w:szCs w:val="21"/>
          <w:u w:val="single"/>
          <w:lang w:bidi="ar"/>
        </w:rPr>
        <w:t>/</w:t>
      </w:r>
      <w:r>
        <w:rPr>
          <w:rFonts w:hint="eastAsia" w:ascii="宋体" w:hAnsi="宋体" w:cs="宋体"/>
          <w:szCs w:val="21"/>
          <w:u w:val="single"/>
          <w:lang w:bidi="ar"/>
        </w:rPr>
        <w:t xml:space="preserve">  </w:t>
      </w:r>
      <w:r>
        <w:rPr>
          <w:szCs w:val="21"/>
          <w:u w:val="single"/>
          <w:lang w:bidi="ar"/>
        </w:rPr>
        <w:t xml:space="preserve">            </w:t>
      </w:r>
      <w:r>
        <w:rPr>
          <w:rFonts w:hint="eastAsia" w:ascii="宋体" w:hAnsi="宋体" w:cs="宋体"/>
          <w:szCs w:val="21"/>
          <w:lang w:bidi="ar"/>
        </w:rPr>
        <w:t>。</w:t>
      </w:r>
    </w:p>
    <w:p w14:paraId="36F7BAF4">
      <w:pPr>
        <w:pStyle w:val="26"/>
        <w:adjustRightInd w:val="0"/>
        <w:snapToGrid w:val="0"/>
        <w:spacing w:line="360" w:lineRule="auto"/>
        <w:ind w:firstLine="420" w:firstLineChars="200"/>
        <w:rPr>
          <w:szCs w:val="21"/>
        </w:rPr>
      </w:pPr>
      <w:r>
        <w:rPr>
          <w:rFonts w:hint="eastAsia" w:ascii="宋体" w:hAnsi="宋体" w:cs="宋体"/>
          <w:szCs w:val="21"/>
          <w:lang w:bidi="ar"/>
        </w:rPr>
        <w:t>其中：</w:t>
      </w:r>
    </w:p>
    <w:p w14:paraId="58CBF343">
      <w:pPr>
        <w:pStyle w:val="26"/>
        <w:adjustRightInd w:val="0"/>
        <w:snapToGrid w:val="0"/>
        <w:spacing w:line="360" w:lineRule="auto"/>
        <w:ind w:firstLine="840" w:firstLineChars="400"/>
        <w:rPr>
          <w:szCs w:val="21"/>
        </w:rPr>
      </w:pPr>
      <w:r>
        <w:rPr>
          <w:rFonts w:hint="eastAsia" w:ascii="宋体" w:hAnsi="宋体" w:cs="宋体"/>
          <w:kern w:val="0"/>
          <w:szCs w:val="21"/>
          <w:lang w:bidi="ar"/>
        </w:rPr>
        <w:t>（</w:t>
      </w:r>
      <w:r>
        <w:rPr>
          <w:kern w:val="0"/>
          <w:szCs w:val="21"/>
          <w:lang w:bidi="ar"/>
        </w:rPr>
        <w:t>1</w:t>
      </w:r>
      <w:r>
        <w:rPr>
          <w:rFonts w:hint="eastAsia" w:ascii="宋体" w:hAnsi="宋体" w:cs="宋体"/>
          <w:kern w:val="0"/>
          <w:szCs w:val="21"/>
          <w:lang w:bidi="ar"/>
        </w:rPr>
        <w:t>）勘察阶段服务</w:t>
      </w:r>
      <w:r>
        <w:rPr>
          <w:rFonts w:hint="eastAsia" w:ascii="宋体" w:hAnsi="宋体" w:cs="宋体"/>
          <w:szCs w:val="21"/>
          <w:lang w:bidi="ar"/>
        </w:rPr>
        <w:t>酬金：</w:t>
      </w:r>
      <w:r>
        <w:rPr>
          <w:szCs w:val="21"/>
          <w:u w:val="single"/>
          <w:lang w:bidi="ar"/>
        </w:rPr>
        <w:t xml:space="preserve">  </w:t>
      </w:r>
      <w:r>
        <w:rPr>
          <w:rFonts w:hint="eastAsia" w:ascii="宋体" w:hAnsi="宋体" w:cs="宋体"/>
          <w:szCs w:val="21"/>
          <w:u w:val="single"/>
          <w:lang w:bidi="ar"/>
        </w:rPr>
        <w:t xml:space="preserve">  </w:t>
      </w:r>
      <w:r>
        <w:rPr>
          <w:rFonts w:ascii="宋体" w:hAnsi="宋体" w:cs="宋体"/>
          <w:szCs w:val="21"/>
          <w:u w:val="single"/>
          <w:lang w:bidi="ar"/>
        </w:rPr>
        <w:t>/</w:t>
      </w:r>
      <w:r>
        <w:rPr>
          <w:szCs w:val="21"/>
          <w:u w:val="single"/>
          <w:lang w:bidi="ar"/>
        </w:rPr>
        <w:t xml:space="preserve">   </w:t>
      </w:r>
      <w:r>
        <w:rPr>
          <w:rFonts w:hint="eastAsia" w:ascii="宋体" w:hAnsi="宋体" w:cs="宋体"/>
          <w:szCs w:val="21"/>
          <w:u w:val="single"/>
          <w:lang w:bidi="ar"/>
        </w:rPr>
        <w:t xml:space="preserve">（¥   </w:t>
      </w:r>
      <w:r>
        <w:rPr>
          <w:rFonts w:ascii="宋体" w:hAnsi="宋体" w:cs="宋体"/>
          <w:szCs w:val="21"/>
          <w:u w:val="single"/>
          <w:lang w:bidi="ar"/>
        </w:rPr>
        <w:t>/</w:t>
      </w:r>
      <w:r>
        <w:rPr>
          <w:rFonts w:hint="eastAsia" w:ascii="宋体" w:hAnsi="宋体" w:cs="宋体"/>
          <w:szCs w:val="21"/>
          <w:u w:val="single"/>
          <w:lang w:bidi="ar"/>
        </w:rPr>
        <w:t xml:space="preserve"> 元）</w:t>
      </w:r>
      <w:r>
        <w:rPr>
          <w:rFonts w:hint="eastAsia" w:ascii="宋体" w:hAnsi="宋体" w:cs="宋体"/>
          <w:szCs w:val="21"/>
          <w:lang w:bidi="ar"/>
        </w:rPr>
        <w:t>。</w:t>
      </w:r>
    </w:p>
    <w:p w14:paraId="23403C44">
      <w:pPr>
        <w:pStyle w:val="26"/>
        <w:adjustRightInd w:val="0"/>
        <w:snapToGrid w:val="0"/>
        <w:spacing w:line="360" w:lineRule="auto"/>
        <w:ind w:firstLine="840" w:firstLineChars="400"/>
        <w:rPr>
          <w:szCs w:val="21"/>
        </w:rPr>
      </w:pPr>
      <w:r>
        <w:rPr>
          <w:rFonts w:hint="eastAsia" w:ascii="宋体" w:hAnsi="宋体" w:cs="宋体"/>
          <w:kern w:val="0"/>
          <w:szCs w:val="21"/>
          <w:lang w:bidi="ar"/>
        </w:rPr>
        <w:t>（</w:t>
      </w:r>
      <w:r>
        <w:rPr>
          <w:kern w:val="0"/>
          <w:szCs w:val="21"/>
          <w:lang w:bidi="ar"/>
        </w:rPr>
        <w:t>2</w:t>
      </w:r>
      <w:r>
        <w:rPr>
          <w:rFonts w:hint="eastAsia" w:ascii="宋体" w:hAnsi="宋体" w:cs="宋体"/>
          <w:kern w:val="0"/>
          <w:szCs w:val="21"/>
          <w:lang w:bidi="ar"/>
        </w:rPr>
        <w:t>）设计阶段服务</w:t>
      </w:r>
      <w:r>
        <w:rPr>
          <w:rFonts w:hint="eastAsia" w:ascii="宋体" w:hAnsi="宋体" w:cs="宋体"/>
          <w:szCs w:val="21"/>
          <w:lang w:bidi="ar"/>
        </w:rPr>
        <w:t>酬金：</w:t>
      </w:r>
      <w:r>
        <w:rPr>
          <w:szCs w:val="21"/>
          <w:u w:val="single"/>
          <w:lang w:bidi="ar"/>
        </w:rPr>
        <w:t xml:space="preserve">    /  </w:t>
      </w:r>
      <w:r>
        <w:rPr>
          <w:rFonts w:hint="eastAsia" w:ascii="宋体" w:hAnsi="宋体" w:cs="宋体"/>
          <w:szCs w:val="21"/>
          <w:u w:val="single"/>
          <w:lang w:bidi="ar"/>
        </w:rPr>
        <w:t xml:space="preserve"> （¥   </w:t>
      </w:r>
      <w:r>
        <w:rPr>
          <w:rFonts w:ascii="宋体" w:hAnsi="宋体" w:cs="宋体"/>
          <w:szCs w:val="21"/>
          <w:u w:val="single"/>
          <w:lang w:bidi="ar"/>
        </w:rPr>
        <w:t>/</w:t>
      </w:r>
      <w:r>
        <w:rPr>
          <w:rFonts w:hint="eastAsia" w:ascii="宋体" w:hAnsi="宋体" w:cs="宋体"/>
          <w:szCs w:val="21"/>
          <w:u w:val="single"/>
          <w:lang w:bidi="ar"/>
        </w:rPr>
        <w:t xml:space="preserve"> 元）</w:t>
      </w:r>
      <w:r>
        <w:rPr>
          <w:rFonts w:hint="eastAsia" w:ascii="宋体" w:hAnsi="宋体" w:cs="宋体"/>
          <w:szCs w:val="21"/>
          <w:lang w:bidi="ar"/>
        </w:rPr>
        <w:t>。</w:t>
      </w:r>
    </w:p>
    <w:p w14:paraId="7254B7E5">
      <w:pPr>
        <w:pStyle w:val="26"/>
        <w:adjustRightInd w:val="0"/>
        <w:snapToGrid w:val="0"/>
        <w:spacing w:line="360" w:lineRule="auto"/>
        <w:ind w:firstLine="840" w:firstLineChars="400"/>
        <w:rPr>
          <w:szCs w:val="21"/>
        </w:rPr>
      </w:pPr>
      <w:r>
        <w:rPr>
          <w:rFonts w:hint="eastAsia" w:ascii="宋体" w:hAnsi="宋体" w:cs="宋体"/>
          <w:kern w:val="0"/>
          <w:szCs w:val="21"/>
          <w:lang w:bidi="ar"/>
        </w:rPr>
        <w:t>（</w:t>
      </w:r>
      <w:r>
        <w:rPr>
          <w:kern w:val="0"/>
          <w:szCs w:val="21"/>
          <w:lang w:bidi="ar"/>
        </w:rPr>
        <w:t>3</w:t>
      </w:r>
      <w:r>
        <w:rPr>
          <w:rFonts w:hint="eastAsia" w:ascii="宋体" w:hAnsi="宋体" w:cs="宋体"/>
          <w:kern w:val="0"/>
          <w:szCs w:val="21"/>
          <w:lang w:bidi="ar"/>
        </w:rPr>
        <w:t>）保修阶段服务</w:t>
      </w:r>
      <w:r>
        <w:rPr>
          <w:rFonts w:hint="eastAsia" w:ascii="宋体" w:hAnsi="宋体" w:cs="宋体"/>
          <w:szCs w:val="21"/>
          <w:lang w:bidi="ar"/>
        </w:rPr>
        <w:t>酬金：</w:t>
      </w:r>
      <w:r>
        <w:rPr>
          <w:szCs w:val="21"/>
          <w:u w:val="single"/>
          <w:lang w:bidi="ar"/>
        </w:rPr>
        <w:t xml:space="preserve">    /   </w:t>
      </w:r>
      <w:r>
        <w:rPr>
          <w:rFonts w:hint="eastAsia" w:ascii="宋体" w:hAnsi="宋体" w:cs="宋体"/>
          <w:szCs w:val="21"/>
          <w:u w:val="single"/>
          <w:lang w:bidi="ar"/>
        </w:rPr>
        <w:t xml:space="preserve">（¥   </w:t>
      </w:r>
      <w:r>
        <w:rPr>
          <w:rFonts w:ascii="宋体" w:hAnsi="宋体" w:cs="宋体"/>
          <w:szCs w:val="21"/>
          <w:u w:val="single"/>
          <w:lang w:bidi="ar"/>
        </w:rPr>
        <w:t>/</w:t>
      </w:r>
      <w:r>
        <w:rPr>
          <w:rFonts w:hint="eastAsia" w:ascii="宋体" w:hAnsi="宋体" w:cs="宋体"/>
          <w:szCs w:val="21"/>
          <w:u w:val="single"/>
          <w:lang w:bidi="ar"/>
        </w:rPr>
        <w:t xml:space="preserve"> 元）</w:t>
      </w:r>
      <w:r>
        <w:rPr>
          <w:rFonts w:hint="eastAsia" w:ascii="宋体" w:hAnsi="宋体" w:cs="宋体"/>
          <w:szCs w:val="21"/>
          <w:lang w:bidi="ar"/>
        </w:rPr>
        <w:t>。</w:t>
      </w:r>
    </w:p>
    <w:p w14:paraId="371FB910">
      <w:pPr>
        <w:pStyle w:val="26"/>
        <w:adjustRightInd w:val="0"/>
        <w:snapToGrid w:val="0"/>
        <w:spacing w:line="360" w:lineRule="auto"/>
        <w:ind w:firstLine="840" w:firstLineChars="400"/>
        <w:rPr>
          <w:rFonts w:ascii="宋体" w:hAnsi="宋体" w:cs="宋体"/>
          <w:szCs w:val="21"/>
        </w:rPr>
      </w:pPr>
      <w:r>
        <w:rPr>
          <w:rFonts w:hint="eastAsia" w:ascii="宋体" w:hAnsi="宋体" w:cs="宋体"/>
          <w:kern w:val="0"/>
          <w:szCs w:val="21"/>
          <w:lang w:bidi="ar"/>
        </w:rPr>
        <w:t>（</w:t>
      </w:r>
      <w:r>
        <w:rPr>
          <w:kern w:val="0"/>
          <w:szCs w:val="21"/>
          <w:lang w:bidi="ar"/>
        </w:rPr>
        <w:t>4</w:t>
      </w:r>
      <w:r>
        <w:rPr>
          <w:rFonts w:hint="eastAsia" w:ascii="宋体" w:hAnsi="宋体" w:cs="宋体"/>
          <w:kern w:val="0"/>
          <w:szCs w:val="21"/>
          <w:lang w:bidi="ar"/>
        </w:rPr>
        <w:t>）</w:t>
      </w:r>
      <w:r>
        <w:rPr>
          <w:rFonts w:hint="eastAsia" w:ascii="宋体" w:hAnsi="宋体" w:cs="宋体"/>
          <w:szCs w:val="21"/>
          <w:lang w:bidi="ar"/>
        </w:rPr>
        <w:t>其他相关服务酬金：</w:t>
      </w:r>
      <w:r>
        <w:rPr>
          <w:szCs w:val="21"/>
          <w:u w:val="single"/>
          <w:lang w:bidi="ar"/>
        </w:rPr>
        <w:t xml:space="preserve"> </w:t>
      </w:r>
      <w:r>
        <w:rPr>
          <w:rFonts w:hint="eastAsia" w:ascii="宋体" w:hAnsi="宋体" w:cs="宋体"/>
          <w:szCs w:val="21"/>
          <w:u w:val="single"/>
          <w:lang w:bidi="ar"/>
        </w:rPr>
        <w:t>无</w:t>
      </w:r>
      <w:r>
        <w:rPr>
          <w:szCs w:val="21"/>
          <w:u w:val="single"/>
          <w:lang w:bidi="ar"/>
        </w:rPr>
        <w:t xml:space="preserve"> </w:t>
      </w:r>
      <w:r>
        <w:rPr>
          <w:rFonts w:hint="eastAsia" w:ascii="宋体" w:hAnsi="宋体" w:cs="宋体"/>
          <w:szCs w:val="21"/>
          <w:lang w:bidi="ar"/>
        </w:rPr>
        <w:t>。</w:t>
      </w:r>
    </w:p>
    <w:p w14:paraId="570B71CE">
      <w:pPr>
        <w:pStyle w:val="26"/>
        <w:spacing w:line="360" w:lineRule="auto"/>
        <w:ind w:firstLine="422" w:firstLineChars="200"/>
        <w:outlineLvl w:val="0"/>
        <w:rPr>
          <w:b/>
          <w:szCs w:val="21"/>
        </w:rPr>
      </w:pPr>
      <w:bookmarkStart w:id="7" w:name="_Toc256000100"/>
      <w:r>
        <w:rPr>
          <w:rFonts w:hint="eastAsia" w:ascii="宋体" w:hAnsi="宋体" w:cs="宋体"/>
          <w:b/>
          <w:szCs w:val="21"/>
          <w:lang w:bidi="ar"/>
        </w:rPr>
        <w:t>六、期限</w:t>
      </w:r>
      <w:bookmarkEnd w:id="7"/>
    </w:p>
    <w:p w14:paraId="6D19C140">
      <w:pPr>
        <w:pStyle w:val="26"/>
        <w:adjustRightInd w:val="0"/>
        <w:snapToGrid w:val="0"/>
        <w:spacing w:line="360" w:lineRule="auto"/>
        <w:ind w:firstLine="525" w:firstLineChars="250"/>
        <w:jc w:val="left"/>
        <w:rPr>
          <w:szCs w:val="21"/>
        </w:rPr>
      </w:pPr>
      <w:r>
        <w:rPr>
          <w:kern w:val="0"/>
          <w:szCs w:val="21"/>
          <w:lang w:bidi="ar"/>
        </w:rPr>
        <w:t>1.</w:t>
      </w:r>
      <w:r>
        <w:rPr>
          <w:rFonts w:hint="eastAsia" w:ascii="宋体" w:hAnsi="宋体" w:cs="宋体"/>
          <w:kern w:val="0"/>
          <w:szCs w:val="21"/>
          <w:lang w:bidi="ar"/>
        </w:rPr>
        <w:t>施工阶段</w:t>
      </w:r>
      <w:r>
        <w:rPr>
          <w:rFonts w:hint="eastAsia" w:ascii="宋体" w:hAnsi="宋体" w:cs="宋体"/>
          <w:szCs w:val="21"/>
          <w:lang w:bidi="ar"/>
        </w:rPr>
        <w:t>监理服务期限：</w:t>
      </w:r>
      <w:r>
        <w:rPr>
          <w:rFonts w:hint="eastAsia" w:ascii="宋体" w:hAnsi="宋体" w:cs="宋体"/>
          <w:szCs w:val="21"/>
          <w:u w:val="single"/>
          <w:lang w:bidi="ar"/>
        </w:rPr>
        <w:t>540日历天</w:t>
      </w:r>
    </w:p>
    <w:p w14:paraId="1017B727">
      <w:pPr>
        <w:pStyle w:val="26"/>
        <w:adjustRightInd w:val="0"/>
        <w:snapToGrid w:val="0"/>
        <w:spacing w:line="360" w:lineRule="auto"/>
        <w:ind w:firstLine="525" w:firstLineChars="250"/>
        <w:jc w:val="left"/>
        <w:rPr>
          <w:szCs w:val="21"/>
        </w:rPr>
      </w:pPr>
      <w:r>
        <w:rPr>
          <w:rFonts w:hint="eastAsia" w:ascii="宋体" w:hAnsi="宋体" w:cs="宋体"/>
          <w:szCs w:val="21"/>
          <w:lang w:bidi="ar"/>
        </w:rPr>
        <w:t>自</w:t>
      </w:r>
      <w:r>
        <w:rPr>
          <w:szCs w:val="21"/>
          <w:u w:val="single"/>
          <w:lang w:bidi="ar"/>
        </w:rPr>
        <w:t xml:space="preserve"> 202</w:t>
      </w:r>
      <w:r>
        <w:rPr>
          <w:rFonts w:hint="eastAsia"/>
          <w:szCs w:val="21"/>
          <w:u w:val="single"/>
          <w:lang w:bidi="ar"/>
        </w:rPr>
        <w:t>*</w:t>
      </w:r>
      <w:r>
        <w:rPr>
          <w:szCs w:val="21"/>
          <w:u w:val="single"/>
          <w:lang w:bidi="ar"/>
        </w:rPr>
        <w:t xml:space="preserve"> </w:t>
      </w:r>
      <w:r>
        <w:rPr>
          <w:rFonts w:hint="eastAsia" w:ascii="宋体" w:hAnsi="宋体" w:cs="宋体"/>
          <w:szCs w:val="21"/>
          <w:lang w:bidi="ar"/>
        </w:rPr>
        <w:t>年</w:t>
      </w:r>
      <w:r>
        <w:rPr>
          <w:szCs w:val="21"/>
          <w:u w:val="single"/>
          <w:lang w:bidi="ar"/>
        </w:rPr>
        <w:t xml:space="preserve">  </w:t>
      </w:r>
      <w:r>
        <w:rPr>
          <w:rFonts w:hint="eastAsia"/>
          <w:szCs w:val="21"/>
          <w:u w:val="single"/>
          <w:lang w:bidi="ar"/>
        </w:rPr>
        <w:t>**</w:t>
      </w:r>
      <w:r>
        <w:rPr>
          <w:szCs w:val="21"/>
          <w:u w:val="single"/>
          <w:lang w:bidi="ar"/>
        </w:rPr>
        <w:t xml:space="preserve">  </w:t>
      </w:r>
      <w:r>
        <w:rPr>
          <w:rFonts w:hint="eastAsia" w:ascii="宋体" w:hAnsi="宋体" w:cs="宋体"/>
          <w:szCs w:val="21"/>
          <w:lang w:bidi="ar"/>
        </w:rPr>
        <w:t>月</w:t>
      </w:r>
      <w:r>
        <w:rPr>
          <w:szCs w:val="21"/>
          <w:u w:val="single"/>
          <w:lang w:bidi="ar"/>
        </w:rPr>
        <w:t xml:space="preserve">  /  </w:t>
      </w:r>
      <w:r>
        <w:rPr>
          <w:rFonts w:hint="eastAsia" w:ascii="宋体" w:hAnsi="宋体" w:cs="宋体"/>
          <w:szCs w:val="21"/>
          <w:lang w:bidi="ar"/>
        </w:rPr>
        <w:t>日始，至</w:t>
      </w:r>
      <w:r>
        <w:rPr>
          <w:szCs w:val="21"/>
          <w:u w:val="single"/>
          <w:lang w:bidi="ar"/>
        </w:rPr>
        <w:t xml:space="preserve"> 202</w:t>
      </w:r>
      <w:r>
        <w:rPr>
          <w:rFonts w:hint="eastAsia"/>
          <w:szCs w:val="21"/>
          <w:u w:val="single"/>
          <w:lang w:bidi="ar"/>
        </w:rPr>
        <w:t>*</w:t>
      </w:r>
      <w:r>
        <w:rPr>
          <w:szCs w:val="21"/>
          <w:u w:val="single"/>
          <w:lang w:bidi="ar"/>
        </w:rPr>
        <w:t xml:space="preserve"> </w:t>
      </w:r>
      <w:r>
        <w:rPr>
          <w:rFonts w:hint="eastAsia" w:ascii="宋体" w:hAnsi="宋体" w:cs="宋体"/>
          <w:szCs w:val="21"/>
          <w:lang w:bidi="ar"/>
        </w:rPr>
        <w:t>年</w:t>
      </w:r>
      <w:r>
        <w:rPr>
          <w:szCs w:val="21"/>
          <w:u w:val="single"/>
          <w:lang w:bidi="ar"/>
        </w:rPr>
        <w:t xml:space="preserve"> </w:t>
      </w:r>
      <w:r>
        <w:rPr>
          <w:rFonts w:hint="eastAsia"/>
          <w:szCs w:val="21"/>
          <w:u w:val="single"/>
          <w:lang w:bidi="ar"/>
        </w:rPr>
        <w:t>***</w:t>
      </w:r>
      <w:r>
        <w:rPr>
          <w:szCs w:val="21"/>
          <w:u w:val="single"/>
          <w:lang w:bidi="ar"/>
        </w:rPr>
        <w:t xml:space="preserve">  </w:t>
      </w:r>
      <w:r>
        <w:rPr>
          <w:rFonts w:hint="eastAsia" w:ascii="宋体" w:hAnsi="宋体" w:cs="宋体"/>
          <w:szCs w:val="21"/>
          <w:lang w:bidi="ar"/>
        </w:rPr>
        <w:t>月</w:t>
      </w:r>
      <w:r>
        <w:rPr>
          <w:szCs w:val="21"/>
          <w:u w:val="single"/>
          <w:lang w:bidi="ar"/>
        </w:rPr>
        <w:t xml:space="preserve">  /  </w:t>
      </w:r>
      <w:r>
        <w:rPr>
          <w:rFonts w:hint="eastAsia" w:ascii="宋体" w:hAnsi="宋体" w:cs="宋体"/>
          <w:szCs w:val="21"/>
          <w:lang w:bidi="ar"/>
        </w:rPr>
        <w:t>日止。（施工阶段监理服务期限应为自委托人通知监理进场之日始至工程竣工验收合格之日止，原则上监理服务期限与所监理项目的施工工期一致，施工工期延长的，监理服务期也相应延长但不追加延期费用。）</w:t>
      </w:r>
    </w:p>
    <w:p w14:paraId="78DA133B">
      <w:pPr>
        <w:pStyle w:val="26"/>
        <w:adjustRightInd w:val="0"/>
        <w:snapToGrid w:val="0"/>
        <w:spacing w:line="360" w:lineRule="auto"/>
        <w:ind w:firstLine="525" w:firstLineChars="250"/>
        <w:rPr>
          <w:szCs w:val="21"/>
        </w:rPr>
      </w:pPr>
      <w:r>
        <w:rPr>
          <w:kern w:val="0"/>
          <w:szCs w:val="21"/>
          <w:lang w:bidi="ar"/>
        </w:rPr>
        <w:t>2.</w:t>
      </w:r>
      <w:r>
        <w:rPr>
          <w:rFonts w:hint="eastAsia" w:ascii="宋体" w:hAnsi="宋体" w:cs="宋体"/>
          <w:szCs w:val="21"/>
          <w:lang w:bidi="ar"/>
        </w:rPr>
        <w:t>相关服务期限：</w:t>
      </w:r>
      <w:r>
        <w:rPr>
          <w:rFonts w:hint="eastAsia" w:ascii="宋体" w:hAnsi="宋体" w:cs="宋体"/>
          <w:szCs w:val="21"/>
          <w:u w:val="single"/>
          <w:lang w:bidi="ar"/>
        </w:rPr>
        <w:t>****日历天</w:t>
      </w:r>
    </w:p>
    <w:p w14:paraId="6120A3E3">
      <w:pPr>
        <w:pStyle w:val="26"/>
        <w:adjustRightInd w:val="0"/>
        <w:snapToGrid w:val="0"/>
        <w:spacing w:line="360" w:lineRule="auto"/>
        <w:ind w:firstLine="525" w:firstLineChars="250"/>
        <w:rPr>
          <w:szCs w:val="21"/>
        </w:rPr>
      </w:pPr>
      <w:r>
        <w:rPr>
          <w:rFonts w:hint="eastAsia" w:ascii="宋体" w:hAnsi="宋体" w:cs="宋体"/>
          <w:kern w:val="0"/>
          <w:szCs w:val="21"/>
          <w:lang w:bidi="ar"/>
        </w:rPr>
        <w:t>（</w:t>
      </w:r>
      <w:r>
        <w:rPr>
          <w:kern w:val="0"/>
          <w:szCs w:val="21"/>
          <w:lang w:bidi="ar"/>
        </w:rPr>
        <w:t>1</w:t>
      </w:r>
      <w:r>
        <w:rPr>
          <w:rFonts w:hint="eastAsia" w:ascii="宋体" w:hAnsi="宋体" w:cs="宋体"/>
          <w:kern w:val="0"/>
          <w:szCs w:val="21"/>
          <w:lang w:bidi="ar"/>
        </w:rPr>
        <w:t>）保修阶段</w:t>
      </w:r>
      <w:r>
        <w:rPr>
          <w:rFonts w:hint="eastAsia" w:ascii="宋体" w:hAnsi="宋体" w:cs="宋体"/>
          <w:szCs w:val="21"/>
          <w:lang w:bidi="ar"/>
        </w:rPr>
        <w:t>服务期限自</w:t>
      </w:r>
      <w:r>
        <w:rPr>
          <w:szCs w:val="21"/>
          <w:u w:val="single"/>
          <w:lang w:bidi="ar"/>
        </w:rPr>
        <w:t xml:space="preserve">    /   </w:t>
      </w:r>
      <w:r>
        <w:rPr>
          <w:rFonts w:hint="eastAsia" w:ascii="宋体" w:hAnsi="宋体" w:cs="宋体"/>
          <w:szCs w:val="21"/>
          <w:lang w:bidi="ar"/>
        </w:rPr>
        <w:t>年</w:t>
      </w:r>
      <w:r>
        <w:rPr>
          <w:szCs w:val="21"/>
          <w:u w:val="single"/>
          <w:lang w:bidi="ar"/>
        </w:rPr>
        <w:t xml:space="preserve">  /  </w:t>
      </w:r>
      <w:r>
        <w:rPr>
          <w:rFonts w:hint="eastAsia" w:ascii="宋体" w:hAnsi="宋体" w:cs="宋体"/>
          <w:szCs w:val="21"/>
          <w:lang w:bidi="ar"/>
        </w:rPr>
        <w:t>月</w:t>
      </w:r>
      <w:r>
        <w:rPr>
          <w:szCs w:val="21"/>
          <w:u w:val="single"/>
          <w:lang w:bidi="ar"/>
        </w:rPr>
        <w:t xml:space="preserve">  /  </w:t>
      </w:r>
      <w:r>
        <w:rPr>
          <w:rFonts w:hint="eastAsia" w:ascii="宋体" w:hAnsi="宋体" w:cs="宋体"/>
          <w:szCs w:val="21"/>
          <w:lang w:bidi="ar"/>
        </w:rPr>
        <w:t>日始，至</w:t>
      </w:r>
      <w:r>
        <w:rPr>
          <w:szCs w:val="21"/>
          <w:u w:val="single"/>
          <w:lang w:bidi="ar"/>
        </w:rPr>
        <w:t xml:space="preserve">   /    </w:t>
      </w:r>
      <w:r>
        <w:rPr>
          <w:rFonts w:hint="eastAsia" w:ascii="宋体" w:hAnsi="宋体" w:cs="宋体"/>
          <w:szCs w:val="21"/>
          <w:lang w:bidi="ar"/>
        </w:rPr>
        <w:t>年</w:t>
      </w:r>
      <w:r>
        <w:rPr>
          <w:szCs w:val="21"/>
          <w:u w:val="single"/>
          <w:lang w:bidi="ar"/>
        </w:rPr>
        <w:t xml:space="preserve"> /  </w:t>
      </w:r>
      <w:r>
        <w:rPr>
          <w:rFonts w:hint="eastAsia" w:ascii="宋体" w:hAnsi="宋体" w:cs="宋体"/>
          <w:szCs w:val="21"/>
          <w:lang w:bidi="ar"/>
        </w:rPr>
        <w:t>月</w:t>
      </w:r>
      <w:r>
        <w:rPr>
          <w:szCs w:val="21"/>
          <w:u w:val="single"/>
          <w:lang w:bidi="ar"/>
        </w:rPr>
        <w:t xml:space="preserve">  /  </w:t>
      </w:r>
      <w:r>
        <w:rPr>
          <w:rFonts w:hint="eastAsia" w:ascii="宋体" w:hAnsi="宋体" w:cs="宋体"/>
          <w:szCs w:val="21"/>
          <w:lang w:bidi="ar"/>
        </w:rPr>
        <w:t>日止。监理人承诺监理责任期是包含保修期间监理责任期在内，起计日期以委托人书面通知为准，结束日期以最终保修终止日期为准。</w:t>
      </w:r>
    </w:p>
    <w:p w14:paraId="3C3C130E">
      <w:pPr>
        <w:pStyle w:val="26"/>
        <w:adjustRightInd w:val="0"/>
        <w:snapToGrid w:val="0"/>
        <w:spacing w:line="360" w:lineRule="auto"/>
        <w:ind w:firstLine="525" w:firstLineChars="250"/>
        <w:rPr>
          <w:szCs w:val="21"/>
        </w:rPr>
      </w:pPr>
      <w:r>
        <w:rPr>
          <w:rFonts w:hint="eastAsia" w:ascii="宋体" w:hAnsi="宋体" w:cs="宋体"/>
          <w:kern w:val="0"/>
          <w:szCs w:val="21"/>
          <w:lang w:bidi="ar"/>
        </w:rPr>
        <w:t>（</w:t>
      </w:r>
      <w:r>
        <w:rPr>
          <w:kern w:val="0"/>
          <w:szCs w:val="21"/>
          <w:lang w:bidi="ar"/>
        </w:rPr>
        <w:t>2</w:t>
      </w:r>
      <w:r>
        <w:rPr>
          <w:rFonts w:hint="eastAsia" w:ascii="宋体" w:hAnsi="宋体" w:cs="宋体"/>
          <w:kern w:val="0"/>
          <w:szCs w:val="21"/>
          <w:lang w:bidi="ar"/>
        </w:rPr>
        <w:t>）</w:t>
      </w:r>
      <w:r>
        <w:rPr>
          <w:rFonts w:hint="eastAsia" w:ascii="宋体" w:hAnsi="宋体" w:cs="宋体"/>
          <w:szCs w:val="21"/>
          <w:lang w:bidi="ar"/>
        </w:rPr>
        <w:t>其他相关服务期限自</w:t>
      </w:r>
      <w:r>
        <w:rPr>
          <w:szCs w:val="21"/>
          <w:u w:val="single"/>
          <w:lang w:bidi="ar"/>
        </w:rPr>
        <w:t xml:space="preserve">  /  </w:t>
      </w:r>
      <w:r>
        <w:rPr>
          <w:rFonts w:hint="eastAsia" w:ascii="宋体" w:hAnsi="宋体" w:cs="宋体"/>
          <w:szCs w:val="21"/>
          <w:lang w:bidi="ar"/>
        </w:rPr>
        <w:t>年</w:t>
      </w:r>
      <w:r>
        <w:rPr>
          <w:szCs w:val="21"/>
          <w:u w:val="single"/>
          <w:lang w:bidi="ar"/>
        </w:rPr>
        <w:t xml:space="preserve">  / </w:t>
      </w:r>
      <w:r>
        <w:rPr>
          <w:rFonts w:hint="eastAsia" w:ascii="宋体" w:hAnsi="宋体" w:cs="宋体"/>
          <w:szCs w:val="21"/>
          <w:lang w:bidi="ar"/>
        </w:rPr>
        <w:t>月</w:t>
      </w:r>
      <w:r>
        <w:rPr>
          <w:szCs w:val="21"/>
          <w:u w:val="single"/>
          <w:lang w:bidi="ar"/>
        </w:rPr>
        <w:t xml:space="preserve">  /  </w:t>
      </w:r>
      <w:r>
        <w:rPr>
          <w:rFonts w:hint="eastAsia" w:ascii="宋体" w:hAnsi="宋体" w:cs="宋体"/>
          <w:szCs w:val="21"/>
          <w:lang w:bidi="ar"/>
        </w:rPr>
        <w:t>日始，至</w:t>
      </w:r>
      <w:r>
        <w:rPr>
          <w:szCs w:val="21"/>
          <w:u w:val="single"/>
          <w:lang w:bidi="ar"/>
        </w:rPr>
        <w:t xml:space="preserve">  / </w:t>
      </w:r>
      <w:r>
        <w:rPr>
          <w:rFonts w:hint="eastAsia" w:ascii="宋体" w:hAnsi="宋体" w:cs="宋体"/>
          <w:szCs w:val="21"/>
          <w:u w:val="single"/>
          <w:lang w:bidi="ar"/>
        </w:rPr>
        <w:t xml:space="preserve"> </w:t>
      </w:r>
      <w:r>
        <w:rPr>
          <w:rFonts w:hint="eastAsia" w:ascii="宋体" w:hAnsi="宋体" w:cs="宋体"/>
          <w:szCs w:val="21"/>
          <w:lang w:bidi="ar"/>
        </w:rPr>
        <w:t>年</w:t>
      </w:r>
      <w:r>
        <w:rPr>
          <w:szCs w:val="21"/>
          <w:u w:val="single"/>
          <w:lang w:bidi="ar"/>
        </w:rPr>
        <w:t xml:space="preserve">  / </w:t>
      </w:r>
      <w:r>
        <w:rPr>
          <w:rFonts w:hint="eastAsia" w:ascii="宋体" w:hAnsi="宋体" w:cs="宋体"/>
          <w:szCs w:val="21"/>
          <w:lang w:bidi="ar"/>
        </w:rPr>
        <w:t>月</w:t>
      </w:r>
      <w:r>
        <w:rPr>
          <w:szCs w:val="21"/>
          <w:u w:val="single"/>
          <w:lang w:bidi="ar"/>
        </w:rPr>
        <w:t xml:space="preserve">  / </w:t>
      </w:r>
      <w:r>
        <w:rPr>
          <w:rFonts w:hint="eastAsia" w:ascii="宋体" w:hAnsi="宋体" w:cs="宋体"/>
          <w:szCs w:val="21"/>
          <w:lang w:bidi="ar"/>
        </w:rPr>
        <w:t>日止。</w:t>
      </w:r>
    </w:p>
    <w:p w14:paraId="67B3E6E3">
      <w:pPr>
        <w:pStyle w:val="26"/>
        <w:spacing w:line="360" w:lineRule="auto"/>
        <w:ind w:firstLine="422" w:firstLineChars="200"/>
        <w:outlineLvl w:val="0"/>
        <w:rPr>
          <w:b/>
          <w:szCs w:val="21"/>
        </w:rPr>
      </w:pPr>
      <w:bookmarkStart w:id="8" w:name="_Toc256000101"/>
      <w:r>
        <w:rPr>
          <w:rFonts w:hint="eastAsia" w:ascii="宋体" w:hAnsi="宋体" w:cs="宋体"/>
          <w:b/>
          <w:szCs w:val="21"/>
          <w:lang w:bidi="ar"/>
        </w:rPr>
        <w:t>七、双方承诺</w:t>
      </w:r>
      <w:bookmarkEnd w:id="8"/>
    </w:p>
    <w:p w14:paraId="7BAD7465">
      <w:pPr>
        <w:pStyle w:val="26"/>
        <w:adjustRightInd w:val="0"/>
        <w:snapToGrid w:val="0"/>
        <w:spacing w:line="360" w:lineRule="auto"/>
        <w:ind w:firstLine="420" w:firstLineChars="200"/>
        <w:rPr>
          <w:szCs w:val="21"/>
        </w:rPr>
      </w:pPr>
      <w:r>
        <w:rPr>
          <w:szCs w:val="21"/>
          <w:lang w:bidi="ar"/>
        </w:rPr>
        <w:t>1.</w:t>
      </w:r>
      <w:r>
        <w:rPr>
          <w:rFonts w:hint="eastAsia" w:ascii="宋体" w:hAnsi="宋体" w:cs="宋体"/>
          <w:szCs w:val="21"/>
          <w:lang w:bidi="ar"/>
        </w:rPr>
        <w:t>监理人向委托人承诺，按照本合同约定提供监理与相关服务。</w:t>
      </w:r>
    </w:p>
    <w:p w14:paraId="4857300A">
      <w:pPr>
        <w:pStyle w:val="26"/>
        <w:adjustRightInd w:val="0"/>
        <w:snapToGrid w:val="0"/>
        <w:spacing w:line="360" w:lineRule="auto"/>
        <w:ind w:firstLine="420" w:firstLineChars="200"/>
        <w:rPr>
          <w:szCs w:val="21"/>
        </w:rPr>
      </w:pPr>
      <w:r>
        <w:rPr>
          <w:szCs w:val="21"/>
          <w:lang w:bidi="ar"/>
        </w:rPr>
        <w:t>2.</w:t>
      </w:r>
      <w:r>
        <w:rPr>
          <w:rFonts w:hint="eastAsia" w:ascii="宋体" w:hAnsi="宋体" w:cs="宋体"/>
          <w:szCs w:val="21"/>
          <w:lang w:bidi="ar"/>
        </w:rPr>
        <w:t>委托人向监理人承诺，按照本合同约定派遣相应的人员，提供房屋、资料、设备，并按本合同约定支付酬金。</w:t>
      </w:r>
    </w:p>
    <w:p w14:paraId="53DAD84F">
      <w:pPr>
        <w:pStyle w:val="26"/>
        <w:spacing w:line="360" w:lineRule="auto"/>
        <w:ind w:firstLine="422" w:firstLineChars="200"/>
        <w:outlineLvl w:val="0"/>
        <w:rPr>
          <w:b/>
          <w:szCs w:val="21"/>
        </w:rPr>
      </w:pPr>
      <w:bookmarkStart w:id="9" w:name="_Toc256000102"/>
      <w:r>
        <w:rPr>
          <w:rFonts w:hint="eastAsia" w:ascii="宋体" w:hAnsi="宋体" w:cs="宋体"/>
          <w:b/>
          <w:szCs w:val="21"/>
          <w:lang w:bidi="ar"/>
        </w:rPr>
        <w:t>八、合同订立</w:t>
      </w:r>
      <w:bookmarkEnd w:id="9"/>
    </w:p>
    <w:p w14:paraId="0DA91F07">
      <w:pPr>
        <w:pStyle w:val="26"/>
        <w:adjustRightInd w:val="0"/>
        <w:snapToGrid w:val="0"/>
        <w:spacing w:line="360" w:lineRule="auto"/>
        <w:ind w:firstLine="420" w:firstLineChars="200"/>
        <w:rPr>
          <w:szCs w:val="21"/>
        </w:rPr>
      </w:pPr>
      <w:r>
        <w:rPr>
          <w:szCs w:val="21"/>
          <w:lang w:bidi="ar"/>
        </w:rPr>
        <w:t>1.</w:t>
      </w:r>
      <w:r>
        <w:rPr>
          <w:rFonts w:hint="eastAsia" w:ascii="宋体" w:hAnsi="宋体" w:cs="宋体"/>
          <w:szCs w:val="21"/>
          <w:lang w:bidi="ar"/>
        </w:rPr>
        <w:t>订立时间：</w:t>
      </w:r>
      <w:r>
        <w:rPr>
          <w:szCs w:val="21"/>
          <w:u w:val="single"/>
          <w:lang w:bidi="ar"/>
        </w:rPr>
        <w:t xml:space="preserve"> 202</w:t>
      </w:r>
      <w:r>
        <w:rPr>
          <w:rFonts w:hint="eastAsia"/>
          <w:szCs w:val="21"/>
          <w:u w:val="single"/>
          <w:lang w:bidi="ar"/>
        </w:rPr>
        <w:t>*</w:t>
      </w:r>
      <w:r>
        <w:rPr>
          <w:szCs w:val="21"/>
          <w:u w:val="single"/>
          <w:lang w:bidi="ar"/>
        </w:rPr>
        <w:t xml:space="preserve"> </w:t>
      </w:r>
      <w:r>
        <w:rPr>
          <w:rFonts w:hint="eastAsia" w:ascii="宋体" w:hAnsi="宋体" w:cs="宋体"/>
          <w:szCs w:val="21"/>
          <w:lang w:bidi="ar"/>
        </w:rPr>
        <w:t>年</w:t>
      </w:r>
      <w:r>
        <w:rPr>
          <w:szCs w:val="21"/>
          <w:u w:val="single"/>
          <w:lang w:bidi="ar"/>
        </w:rPr>
        <w:t xml:space="preserve"> </w:t>
      </w:r>
      <w:r>
        <w:rPr>
          <w:rFonts w:hint="eastAsia"/>
          <w:szCs w:val="21"/>
          <w:u w:val="single"/>
          <w:lang w:bidi="ar"/>
        </w:rPr>
        <w:t>**</w:t>
      </w:r>
      <w:r>
        <w:rPr>
          <w:szCs w:val="21"/>
          <w:u w:val="single"/>
          <w:lang w:bidi="ar"/>
        </w:rPr>
        <w:t xml:space="preserve"> </w:t>
      </w:r>
      <w:r>
        <w:rPr>
          <w:rFonts w:hint="eastAsia" w:ascii="宋体" w:hAnsi="宋体" w:cs="宋体"/>
          <w:szCs w:val="21"/>
          <w:lang w:bidi="ar"/>
        </w:rPr>
        <w:t>月</w:t>
      </w:r>
      <w:r>
        <w:rPr>
          <w:szCs w:val="21"/>
          <w:u w:val="single"/>
          <w:lang w:bidi="ar"/>
        </w:rPr>
        <w:t xml:space="preserve">  </w:t>
      </w:r>
      <w:r>
        <w:rPr>
          <w:rFonts w:hint="eastAsia" w:ascii="宋体" w:hAnsi="宋体" w:cs="宋体"/>
          <w:szCs w:val="21"/>
          <w:lang w:bidi="ar"/>
        </w:rPr>
        <w:t>日。</w:t>
      </w:r>
    </w:p>
    <w:p w14:paraId="2C17F83B">
      <w:pPr>
        <w:pStyle w:val="26"/>
        <w:adjustRightInd w:val="0"/>
        <w:snapToGrid w:val="0"/>
        <w:spacing w:line="360" w:lineRule="auto"/>
        <w:ind w:firstLine="420" w:firstLineChars="200"/>
        <w:rPr>
          <w:rFonts w:hAnsi="宋体"/>
          <w:szCs w:val="21"/>
        </w:rPr>
      </w:pPr>
      <w:r>
        <w:rPr>
          <w:szCs w:val="21"/>
          <w:lang w:bidi="ar"/>
        </w:rPr>
        <w:t>2.</w:t>
      </w:r>
      <w:r>
        <w:rPr>
          <w:rFonts w:hint="eastAsia" w:ascii="宋体" w:hAnsi="宋体" w:cs="宋体"/>
          <w:szCs w:val="21"/>
          <w:lang w:bidi="ar"/>
        </w:rPr>
        <w:t>订立地点：</w:t>
      </w:r>
      <w:r>
        <w:rPr>
          <w:rFonts w:hint="eastAsia"/>
          <w:szCs w:val="21"/>
          <w:u w:val="single"/>
          <w:lang w:bidi="ar"/>
        </w:rPr>
        <w:t>广西中马钦州产业园区内</w:t>
      </w:r>
      <w:r>
        <w:rPr>
          <w:rFonts w:hint="eastAsia" w:ascii="宋体" w:hAnsi="宋体" w:cs="宋体"/>
          <w:szCs w:val="21"/>
          <w:lang w:bidi="ar"/>
        </w:rPr>
        <w:t>。</w:t>
      </w:r>
    </w:p>
    <w:p w14:paraId="2E9ABB1D">
      <w:pPr>
        <w:pStyle w:val="26"/>
        <w:adjustRightInd w:val="0"/>
        <w:snapToGrid w:val="0"/>
        <w:spacing w:line="360" w:lineRule="auto"/>
        <w:ind w:firstLine="420" w:firstLineChars="200"/>
        <w:rPr>
          <w:rFonts w:ascii="宋体" w:hAnsi="宋体" w:cs="宋体"/>
          <w:szCs w:val="21"/>
        </w:rPr>
      </w:pPr>
      <w:r>
        <w:rPr>
          <w:szCs w:val="21"/>
          <w:lang w:bidi="ar"/>
        </w:rPr>
        <w:t>3</w:t>
      </w:r>
      <w:r>
        <w:rPr>
          <w:rFonts w:hAnsi="宋体"/>
          <w:szCs w:val="21"/>
          <w:lang w:bidi="ar"/>
        </w:rPr>
        <w:t>.</w:t>
      </w:r>
      <w:r>
        <w:rPr>
          <w:rFonts w:hint="eastAsia" w:ascii="宋体" w:hAnsi="宋体" w:cs="宋体"/>
          <w:szCs w:val="21"/>
          <w:lang w:bidi="ar"/>
        </w:rPr>
        <w:t>本合同书经双方法定代表人或其授权代表人签名并加盖本单位公章（或合同专用章）后生效。</w:t>
      </w:r>
    </w:p>
    <w:p w14:paraId="01090C8C">
      <w:pPr>
        <w:pStyle w:val="26"/>
        <w:adjustRightInd w:val="0"/>
        <w:snapToGrid w:val="0"/>
        <w:spacing w:line="360" w:lineRule="auto"/>
        <w:ind w:firstLine="420" w:firstLineChars="200"/>
        <w:rPr>
          <w:rFonts w:ascii="宋体" w:hAnsi="宋体" w:cs="宋体"/>
          <w:szCs w:val="21"/>
          <w:lang w:bidi="ar"/>
        </w:rPr>
      </w:pPr>
      <w:r>
        <w:rPr>
          <w:szCs w:val="21"/>
          <w:lang w:bidi="ar"/>
        </w:rPr>
        <w:t>4.</w:t>
      </w:r>
      <w:r>
        <w:rPr>
          <w:rFonts w:hint="eastAsia" w:ascii="宋体" w:hAnsi="宋体" w:cs="宋体"/>
          <w:szCs w:val="21"/>
          <w:lang w:bidi="ar"/>
        </w:rPr>
        <w:t>本合同一式</w:t>
      </w:r>
      <w:r>
        <w:rPr>
          <w:szCs w:val="21"/>
          <w:u w:val="single"/>
          <w:lang w:bidi="ar"/>
        </w:rPr>
        <w:t xml:space="preserve"> </w:t>
      </w:r>
      <w:r>
        <w:rPr>
          <w:rFonts w:hint="eastAsia" w:ascii="宋体" w:hAnsi="宋体" w:cs="宋体"/>
          <w:szCs w:val="21"/>
          <w:u w:val="single"/>
          <w:lang w:bidi="ar"/>
        </w:rPr>
        <w:t>柒</w:t>
      </w:r>
      <w:r>
        <w:rPr>
          <w:szCs w:val="21"/>
          <w:u w:val="single"/>
          <w:lang w:bidi="ar"/>
        </w:rPr>
        <w:t xml:space="preserve"> </w:t>
      </w:r>
      <w:r>
        <w:rPr>
          <w:rFonts w:hint="eastAsia" w:ascii="宋体" w:hAnsi="宋体" w:cs="宋体"/>
          <w:szCs w:val="21"/>
          <w:lang w:bidi="ar"/>
        </w:rPr>
        <w:t>份，具有同等法律效力，甲方执</w:t>
      </w:r>
      <w:r>
        <w:rPr>
          <w:rFonts w:hint="eastAsia" w:ascii="宋体" w:hAnsi="宋体" w:cs="宋体"/>
          <w:szCs w:val="21"/>
          <w:u w:val="single"/>
          <w:lang w:bidi="ar"/>
        </w:rPr>
        <w:t>伍</w:t>
      </w:r>
      <w:r>
        <w:rPr>
          <w:rFonts w:hint="eastAsia" w:ascii="宋体" w:hAnsi="宋体" w:cs="宋体"/>
          <w:szCs w:val="21"/>
          <w:lang w:bidi="ar"/>
        </w:rPr>
        <w:t>份，乙方执</w:t>
      </w:r>
      <w:r>
        <w:rPr>
          <w:rFonts w:hint="eastAsia" w:ascii="宋体" w:hAnsi="宋体" w:cs="宋体"/>
          <w:szCs w:val="21"/>
          <w:u w:val="single"/>
          <w:lang w:bidi="ar"/>
        </w:rPr>
        <w:t>贰</w:t>
      </w:r>
      <w:r>
        <w:rPr>
          <w:rFonts w:hint="eastAsia" w:ascii="宋体" w:hAnsi="宋体" w:cs="宋体"/>
          <w:szCs w:val="21"/>
          <w:lang w:bidi="ar"/>
        </w:rPr>
        <w:t>份。</w:t>
      </w:r>
    </w:p>
    <w:p w14:paraId="53331580">
      <w:pPr>
        <w:pStyle w:val="26"/>
        <w:adjustRightInd w:val="0"/>
        <w:snapToGrid w:val="0"/>
        <w:spacing w:line="360" w:lineRule="auto"/>
        <w:ind w:firstLine="420" w:firstLineChars="200"/>
        <w:rPr>
          <w:rFonts w:ascii="宋体" w:hAnsi="宋体" w:cs="宋体"/>
          <w:szCs w:val="21"/>
          <w:lang w:bidi="ar"/>
        </w:rPr>
      </w:pPr>
    </w:p>
    <w:p w14:paraId="69CCA3A5">
      <w:pPr>
        <w:pStyle w:val="26"/>
        <w:adjustRightInd w:val="0"/>
        <w:snapToGrid w:val="0"/>
        <w:spacing w:line="360" w:lineRule="auto"/>
        <w:ind w:firstLine="420" w:firstLineChars="200"/>
        <w:rPr>
          <w:rFonts w:ascii="宋体" w:hAnsi="宋体" w:cs="宋体"/>
          <w:szCs w:val="21"/>
          <w:lang w:bidi="ar"/>
        </w:rPr>
      </w:pPr>
    </w:p>
    <w:p w14:paraId="6AAED591">
      <w:pPr>
        <w:pStyle w:val="26"/>
        <w:adjustRightInd w:val="0"/>
        <w:snapToGrid w:val="0"/>
        <w:spacing w:line="360" w:lineRule="auto"/>
        <w:ind w:firstLine="420" w:firstLineChars="200"/>
        <w:rPr>
          <w:rFonts w:ascii="宋体" w:hAnsi="宋体" w:cs="宋体"/>
          <w:szCs w:val="21"/>
          <w:lang w:bidi="ar"/>
        </w:rPr>
      </w:pPr>
    </w:p>
    <w:p w14:paraId="504419B4">
      <w:pPr>
        <w:pStyle w:val="26"/>
        <w:adjustRightInd w:val="0"/>
        <w:snapToGrid w:val="0"/>
        <w:spacing w:line="360" w:lineRule="auto"/>
        <w:ind w:firstLine="420" w:firstLineChars="200"/>
        <w:rPr>
          <w:rFonts w:ascii="宋体" w:hAnsi="宋体" w:cs="宋体"/>
          <w:szCs w:val="21"/>
          <w:lang w:bidi="ar"/>
        </w:rPr>
      </w:pPr>
    </w:p>
    <w:p w14:paraId="5F9AFC29">
      <w:pPr>
        <w:pStyle w:val="26"/>
        <w:adjustRightInd w:val="0"/>
        <w:snapToGrid w:val="0"/>
        <w:spacing w:line="360" w:lineRule="auto"/>
        <w:ind w:firstLine="420" w:firstLineChars="200"/>
        <w:rPr>
          <w:rFonts w:ascii="宋体" w:hAnsi="宋体" w:cs="宋体"/>
          <w:szCs w:val="21"/>
          <w:lang w:bidi="ar"/>
        </w:rPr>
      </w:pPr>
    </w:p>
    <w:p w14:paraId="57C88EB4">
      <w:pPr>
        <w:pStyle w:val="26"/>
        <w:adjustRightInd w:val="0"/>
        <w:snapToGrid w:val="0"/>
        <w:spacing w:line="360" w:lineRule="auto"/>
        <w:ind w:firstLine="420" w:firstLineChars="200"/>
        <w:rPr>
          <w:rFonts w:ascii="宋体" w:hAnsi="宋体" w:cs="宋体"/>
          <w:szCs w:val="21"/>
          <w:lang w:bidi="ar"/>
        </w:rPr>
      </w:pPr>
    </w:p>
    <w:p w14:paraId="4417791D">
      <w:pPr>
        <w:pStyle w:val="26"/>
        <w:adjustRightInd w:val="0"/>
        <w:snapToGrid w:val="0"/>
        <w:spacing w:line="360" w:lineRule="auto"/>
        <w:ind w:firstLine="420" w:firstLineChars="200"/>
        <w:rPr>
          <w:rFonts w:ascii="宋体" w:hAnsi="宋体" w:cs="宋体"/>
          <w:szCs w:val="21"/>
          <w:lang w:bidi="ar"/>
        </w:rPr>
      </w:pPr>
    </w:p>
    <w:p w14:paraId="538E32B0">
      <w:pPr>
        <w:pStyle w:val="26"/>
        <w:adjustRightInd w:val="0"/>
        <w:snapToGrid w:val="0"/>
        <w:spacing w:line="360" w:lineRule="auto"/>
        <w:ind w:firstLine="420" w:firstLineChars="200"/>
        <w:rPr>
          <w:szCs w:val="21"/>
        </w:rPr>
      </w:pPr>
    </w:p>
    <w:p w14:paraId="113B6C06">
      <w:pPr>
        <w:pStyle w:val="26"/>
        <w:adjustRightInd w:val="0"/>
        <w:snapToGrid w:val="0"/>
        <w:spacing w:line="360" w:lineRule="auto"/>
        <w:ind w:right="-126" w:rightChars="-60"/>
        <w:rPr>
          <w:szCs w:val="21"/>
          <w:u w:val="single"/>
          <w:lang w:bidi="ar"/>
        </w:rPr>
      </w:pPr>
      <w:r>
        <w:rPr>
          <w:rFonts w:hint="eastAsia" w:ascii="宋体" w:hAnsi="宋体" w:cs="宋体"/>
          <w:szCs w:val="21"/>
          <w:lang w:bidi="ar"/>
        </w:rPr>
        <w:t>委托人：</w:t>
      </w:r>
      <w:r>
        <w:rPr>
          <w:rFonts w:hint="eastAsia"/>
          <w:szCs w:val="21"/>
          <w:u w:val="single"/>
          <w:lang w:bidi="ar"/>
        </w:rPr>
        <w:t>广西中马钦州产业园区开发有限公司</w:t>
      </w:r>
      <w:r>
        <w:rPr>
          <w:rFonts w:hint="eastAsia"/>
          <w:szCs w:val="21"/>
          <w:lang w:bidi="ar"/>
        </w:rPr>
        <w:t xml:space="preserve"> </w:t>
      </w:r>
      <w:r>
        <w:rPr>
          <w:szCs w:val="21"/>
          <w:lang w:bidi="ar"/>
        </w:rPr>
        <w:t xml:space="preserve">     </w:t>
      </w:r>
      <w:r>
        <w:rPr>
          <w:rFonts w:hint="eastAsia" w:ascii="宋体" w:hAnsi="宋体" w:cs="宋体"/>
          <w:szCs w:val="21"/>
          <w:lang w:bidi="ar"/>
        </w:rPr>
        <w:t>监理人：</w:t>
      </w:r>
      <w:r>
        <w:rPr>
          <w:rFonts w:hint="eastAsia" w:ascii="宋体" w:hAnsi="宋体" w:cs="宋体"/>
          <w:color w:val="000000"/>
          <w:szCs w:val="21"/>
          <w:u w:val="single"/>
        </w:rPr>
        <w:t>*****公司</w:t>
      </w:r>
    </w:p>
    <w:p w14:paraId="2FABCCBE">
      <w:pPr>
        <w:pStyle w:val="26"/>
        <w:adjustRightInd w:val="0"/>
        <w:snapToGrid w:val="0"/>
        <w:spacing w:line="360" w:lineRule="auto"/>
        <w:ind w:right="-126" w:rightChars="-60"/>
        <w:rPr>
          <w:szCs w:val="21"/>
        </w:rPr>
      </w:pPr>
    </w:p>
    <w:p w14:paraId="6CDA4F17">
      <w:pPr>
        <w:pStyle w:val="26"/>
        <w:adjustRightInd w:val="0"/>
        <w:snapToGrid w:val="0"/>
        <w:spacing w:line="360" w:lineRule="auto"/>
        <w:ind w:right="-126" w:rightChars="-60"/>
        <w:rPr>
          <w:szCs w:val="21"/>
          <w:u w:val="single"/>
          <w:lang w:bidi="ar"/>
        </w:rPr>
      </w:pPr>
      <w:r>
        <w:rPr>
          <w:rFonts w:hint="eastAsia" w:ascii="宋体" w:hAnsi="宋体" w:cs="宋体"/>
          <w:szCs w:val="21"/>
          <w:lang w:bidi="ar"/>
        </w:rPr>
        <w:t>住所：</w:t>
      </w:r>
      <w:r>
        <w:rPr>
          <w:rFonts w:hint="eastAsia"/>
          <w:szCs w:val="21"/>
          <w:u w:val="single"/>
          <w:lang w:bidi="ar"/>
        </w:rPr>
        <w:t>中马钦州产业园区友谊大道8</w:t>
      </w:r>
      <w:r>
        <w:rPr>
          <w:szCs w:val="21"/>
          <w:u w:val="single"/>
          <w:lang w:bidi="ar"/>
        </w:rPr>
        <w:t>8</w:t>
      </w:r>
      <w:r>
        <w:rPr>
          <w:rFonts w:hint="eastAsia"/>
          <w:szCs w:val="21"/>
          <w:u w:val="single"/>
          <w:lang w:bidi="ar"/>
        </w:rPr>
        <w:t>号</w:t>
      </w:r>
      <w:r>
        <w:rPr>
          <w:szCs w:val="21"/>
          <w:lang w:bidi="ar"/>
        </w:rPr>
        <w:t xml:space="preserve">           </w:t>
      </w:r>
      <w:r>
        <w:rPr>
          <w:rFonts w:hint="eastAsia" w:ascii="宋体" w:hAnsi="宋体" w:cs="宋体"/>
          <w:szCs w:val="21"/>
          <w:lang w:bidi="ar"/>
        </w:rPr>
        <w:t>住所：</w:t>
      </w:r>
      <w:r>
        <w:rPr>
          <w:rFonts w:hint="eastAsia" w:ascii="宋体" w:hAnsi="宋体" w:cs="宋体"/>
          <w:color w:val="000000"/>
          <w:szCs w:val="21"/>
          <w:u w:val="single"/>
        </w:rPr>
        <w:t>*****</w:t>
      </w:r>
    </w:p>
    <w:p w14:paraId="0E191CCB">
      <w:pPr>
        <w:adjustRightInd w:val="0"/>
        <w:snapToGrid w:val="0"/>
        <w:spacing w:line="360" w:lineRule="auto"/>
        <w:rPr>
          <w:rFonts w:ascii="宋体" w:hAnsi="宋体"/>
          <w:sz w:val="18"/>
          <w:szCs w:val="18"/>
        </w:rPr>
      </w:pPr>
    </w:p>
    <w:p w14:paraId="74725FC0">
      <w:pPr>
        <w:pStyle w:val="26"/>
        <w:adjustRightInd w:val="0"/>
        <w:snapToGrid w:val="0"/>
        <w:spacing w:line="360" w:lineRule="auto"/>
        <w:ind w:right="-126" w:rightChars="-60"/>
        <w:rPr>
          <w:szCs w:val="21"/>
          <w:u w:val="single"/>
          <w:lang w:bidi="ar"/>
        </w:rPr>
      </w:pPr>
      <w:r>
        <w:rPr>
          <w:rFonts w:hint="eastAsia" w:ascii="宋体" w:hAnsi="宋体" w:cs="宋体"/>
          <w:szCs w:val="21"/>
          <w:lang w:bidi="ar"/>
        </w:rPr>
        <w:t>邮政编码：</w:t>
      </w:r>
      <w:r>
        <w:rPr>
          <w:szCs w:val="21"/>
          <w:u w:val="single"/>
          <w:lang w:bidi="ar"/>
        </w:rPr>
        <w:t>535008</w:t>
      </w:r>
      <w:r>
        <w:rPr>
          <w:szCs w:val="21"/>
          <w:lang w:bidi="ar"/>
        </w:rPr>
        <w:t xml:space="preserve">                              </w:t>
      </w:r>
      <w:r>
        <w:rPr>
          <w:rFonts w:hint="eastAsia" w:ascii="宋体" w:hAnsi="宋体" w:cs="宋体"/>
          <w:szCs w:val="21"/>
          <w:lang w:bidi="ar"/>
        </w:rPr>
        <w:t>邮政编码：</w:t>
      </w:r>
      <w:r>
        <w:rPr>
          <w:rFonts w:ascii="宋体" w:hAnsi="宋体" w:cs="宋体"/>
          <w:color w:val="000000"/>
          <w:szCs w:val="21"/>
          <w:u w:val="single"/>
        </w:rPr>
        <w:t>5</w:t>
      </w:r>
      <w:r>
        <w:rPr>
          <w:rFonts w:hint="eastAsia" w:ascii="宋体" w:hAnsi="宋体" w:cs="宋体"/>
          <w:color w:val="000000"/>
          <w:szCs w:val="21"/>
          <w:u w:val="single"/>
        </w:rPr>
        <w:t>****</w:t>
      </w:r>
    </w:p>
    <w:p w14:paraId="62D037F1">
      <w:pPr>
        <w:pStyle w:val="26"/>
        <w:adjustRightInd w:val="0"/>
        <w:snapToGrid w:val="0"/>
        <w:spacing w:line="360" w:lineRule="auto"/>
        <w:ind w:right="-126" w:rightChars="-60"/>
        <w:rPr>
          <w:rFonts w:ascii="宋体" w:hAnsi="宋体" w:cs="宋体"/>
          <w:szCs w:val="21"/>
          <w:u w:val="single"/>
          <w:lang w:bidi="ar"/>
        </w:rPr>
      </w:pPr>
      <w:r>
        <w:rPr>
          <w:rFonts w:hint="eastAsia" w:ascii="宋体" w:hAnsi="宋体" w:cs="宋体"/>
          <w:szCs w:val="21"/>
          <w:lang w:bidi="ar"/>
        </w:rPr>
        <w:t>法定代表人或其授权代理人：</w:t>
      </w:r>
      <w:r>
        <w:rPr>
          <w:rFonts w:hint="eastAsia" w:ascii="宋体" w:hAnsi="宋体" w:cs="宋体"/>
          <w:szCs w:val="21"/>
          <w:u w:val="single"/>
          <w:lang w:bidi="ar"/>
        </w:rPr>
        <w:t>（签字）</w:t>
      </w:r>
      <w:r>
        <w:rPr>
          <w:szCs w:val="21"/>
          <w:lang w:bidi="ar"/>
        </w:rPr>
        <w:t xml:space="preserve">             </w:t>
      </w:r>
      <w:r>
        <w:rPr>
          <w:rFonts w:hint="eastAsia" w:ascii="宋体" w:hAnsi="宋体" w:cs="宋体"/>
          <w:szCs w:val="21"/>
          <w:lang w:bidi="ar"/>
        </w:rPr>
        <w:t>法定代表人或其授权代理人：</w:t>
      </w:r>
      <w:r>
        <w:rPr>
          <w:rFonts w:hint="eastAsia" w:ascii="宋体" w:hAnsi="宋体" w:cs="宋体"/>
          <w:szCs w:val="21"/>
          <w:u w:val="single"/>
          <w:lang w:bidi="ar"/>
        </w:rPr>
        <w:t>（签字）</w:t>
      </w:r>
    </w:p>
    <w:p w14:paraId="68FF07AB">
      <w:pPr>
        <w:pStyle w:val="26"/>
        <w:adjustRightInd w:val="0"/>
        <w:snapToGrid w:val="0"/>
        <w:spacing w:line="360" w:lineRule="auto"/>
        <w:ind w:right="-126" w:rightChars="-60"/>
        <w:rPr>
          <w:szCs w:val="21"/>
        </w:rPr>
      </w:pPr>
    </w:p>
    <w:p w14:paraId="1AD61346">
      <w:pPr>
        <w:pStyle w:val="26"/>
        <w:adjustRightInd w:val="0"/>
        <w:snapToGrid w:val="0"/>
        <w:spacing w:line="360" w:lineRule="auto"/>
        <w:ind w:right="-126" w:rightChars="-60"/>
        <w:rPr>
          <w:szCs w:val="21"/>
          <w:u w:val="single"/>
          <w:lang w:bidi="ar"/>
        </w:rPr>
      </w:pPr>
      <w:r>
        <w:rPr>
          <w:rFonts w:hint="eastAsia" w:ascii="宋体" w:hAnsi="宋体" w:cs="宋体"/>
          <w:szCs w:val="21"/>
          <w:lang w:bidi="ar"/>
        </w:rPr>
        <w:t>开户银行：</w:t>
      </w:r>
      <w:r>
        <w:rPr>
          <w:rFonts w:hint="eastAsia" w:ascii="宋体" w:hAnsi="宋体" w:cs="宋体"/>
          <w:szCs w:val="21"/>
          <w:u w:val="single"/>
          <w:lang w:bidi="ar"/>
        </w:rPr>
        <w:t>中国建设银行股份有限公司钦州港区支行</w:t>
      </w:r>
      <w:r>
        <w:rPr>
          <w:rFonts w:hint="eastAsia" w:ascii="宋体" w:hAnsi="宋体" w:cs="宋体"/>
          <w:szCs w:val="21"/>
          <w:lang w:bidi="ar"/>
        </w:rPr>
        <w:t xml:space="preserve"> 开户银行：</w:t>
      </w:r>
      <w:r>
        <w:rPr>
          <w:rFonts w:hint="eastAsia" w:ascii="宋体" w:hAnsi="宋体" w:cs="宋体"/>
          <w:color w:val="000000"/>
          <w:szCs w:val="21"/>
          <w:u w:val="single"/>
        </w:rPr>
        <w:t>*******</w:t>
      </w:r>
    </w:p>
    <w:p w14:paraId="21AE2A57">
      <w:pPr>
        <w:pStyle w:val="26"/>
        <w:adjustRightInd w:val="0"/>
        <w:snapToGrid w:val="0"/>
        <w:spacing w:line="360" w:lineRule="auto"/>
        <w:ind w:right="-126" w:rightChars="-60"/>
        <w:rPr>
          <w:szCs w:val="21"/>
          <w:u w:val="single"/>
          <w:lang w:bidi="ar"/>
        </w:rPr>
      </w:pPr>
      <w:r>
        <w:rPr>
          <w:rFonts w:hint="eastAsia" w:ascii="宋体" w:hAnsi="宋体" w:cs="宋体"/>
          <w:szCs w:val="21"/>
          <w:lang w:bidi="ar"/>
        </w:rPr>
        <w:t>账号：</w:t>
      </w:r>
      <w:r>
        <w:rPr>
          <w:rFonts w:ascii="宋体" w:hAnsi="宋体" w:cs="宋体"/>
          <w:szCs w:val="21"/>
          <w:u w:val="single"/>
          <w:lang w:bidi="ar"/>
        </w:rPr>
        <w:t>45001659851059118168</w:t>
      </w:r>
      <w:r>
        <w:rPr>
          <w:szCs w:val="21"/>
          <w:lang w:bidi="ar"/>
        </w:rPr>
        <w:t xml:space="preserve">                     </w:t>
      </w:r>
      <w:r>
        <w:rPr>
          <w:rFonts w:hint="eastAsia" w:ascii="宋体" w:hAnsi="宋体" w:cs="宋体"/>
          <w:szCs w:val="21"/>
          <w:lang w:bidi="ar"/>
        </w:rPr>
        <w:t>账号：</w:t>
      </w:r>
      <w:r>
        <w:rPr>
          <w:rFonts w:hint="eastAsia" w:ascii="宋体" w:hAnsi="宋体" w:cs="宋体"/>
          <w:color w:val="000000"/>
          <w:szCs w:val="21"/>
          <w:u w:val="single"/>
        </w:rPr>
        <w:t>*******</w:t>
      </w:r>
    </w:p>
    <w:p w14:paraId="319B1124">
      <w:pPr>
        <w:pStyle w:val="26"/>
        <w:adjustRightInd w:val="0"/>
        <w:snapToGrid w:val="0"/>
        <w:spacing w:line="360" w:lineRule="auto"/>
        <w:ind w:right="-126" w:rightChars="-60"/>
        <w:rPr>
          <w:szCs w:val="21"/>
          <w:u w:val="single"/>
          <w:lang w:bidi="ar"/>
        </w:rPr>
      </w:pPr>
      <w:r>
        <w:rPr>
          <w:rFonts w:hint="eastAsia" w:ascii="宋体" w:hAnsi="宋体" w:cs="宋体"/>
          <w:szCs w:val="21"/>
          <w:lang w:bidi="ar"/>
        </w:rPr>
        <w:t>电话：</w:t>
      </w:r>
      <w:r>
        <w:rPr>
          <w:szCs w:val="21"/>
          <w:u w:val="single"/>
          <w:lang w:bidi="ar"/>
        </w:rPr>
        <w:t>0777</w:t>
      </w:r>
      <w:r>
        <w:rPr>
          <w:rFonts w:hint="eastAsia"/>
          <w:szCs w:val="21"/>
          <w:u w:val="single"/>
          <w:lang w:bidi="ar"/>
        </w:rPr>
        <w:t>-</w:t>
      </w:r>
      <w:r>
        <w:rPr>
          <w:szCs w:val="21"/>
          <w:u w:val="single"/>
          <w:lang w:bidi="ar"/>
        </w:rPr>
        <w:t>5988988</w:t>
      </w:r>
      <w:r>
        <w:rPr>
          <w:szCs w:val="21"/>
          <w:lang w:bidi="ar"/>
        </w:rPr>
        <w:t xml:space="preserve">                             </w:t>
      </w:r>
      <w:r>
        <w:rPr>
          <w:rFonts w:hint="eastAsia" w:ascii="宋体" w:hAnsi="宋体" w:cs="宋体"/>
          <w:szCs w:val="21"/>
          <w:lang w:bidi="ar"/>
        </w:rPr>
        <w:t>电话：</w:t>
      </w:r>
      <w:r>
        <w:rPr>
          <w:rFonts w:hint="eastAsia" w:ascii="宋体" w:hAnsi="宋体" w:cs="宋体"/>
          <w:color w:val="000000"/>
          <w:szCs w:val="21"/>
          <w:u w:val="single"/>
        </w:rPr>
        <w:t>*****</w:t>
      </w:r>
    </w:p>
    <w:p w14:paraId="24ED5B23">
      <w:pPr>
        <w:adjustRightInd w:val="0"/>
        <w:snapToGrid w:val="0"/>
        <w:spacing w:line="360" w:lineRule="auto"/>
        <w:rPr>
          <w:rFonts w:ascii="宋体" w:hAnsi="宋体"/>
          <w:szCs w:val="21"/>
        </w:rPr>
      </w:pPr>
      <w:r>
        <w:rPr>
          <w:rFonts w:hint="eastAsia" w:ascii="宋体" w:hAnsi="宋体" w:cs="宋体"/>
          <w:szCs w:val="21"/>
          <w:lang w:bidi="ar"/>
        </w:rPr>
        <w:t>传真：</w:t>
      </w:r>
      <w:r>
        <w:rPr>
          <w:szCs w:val="21"/>
          <w:u w:val="single"/>
          <w:lang w:bidi="ar"/>
        </w:rPr>
        <w:t>0777</w:t>
      </w:r>
      <w:r>
        <w:rPr>
          <w:rFonts w:hint="eastAsia"/>
          <w:szCs w:val="21"/>
          <w:u w:val="single"/>
          <w:lang w:bidi="ar"/>
        </w:rPr>
        <w:t>-</w:t>
      </w:r>
      <w:r>
        <w:rPr>
          <w:szCs w:val="21"/>
          <w:u w:val="single"/>
          <w:lang w:bidi="ar"/>
        </w:rPr>
        <w:t>5988966</w:t>
      </w:r>
      <w:r>
        <w:rPr>
          <w:szCs w:val="21"/>
          <w:lang w:bidi="ar"/>
        </w:rPr>
        <w:t xml:space="preserve">                             </w:t>
      </w:r>
      <w:r>
        <w:rPr>
          <w:rFonts w:hint="eastAsia" w:ascii="宋体" w:hAnsi="宋体" w:cs="宋体"/>
          <w:szCs w:val="21"/>
          <w:lang w:bidi="ar"/>
        </w:rPr>
        <w:t>传真：</w:t>
      </w:r>
      <w:r>
        <w:rPr>
          <w:rFonts w:hint="eastAsia" w:ascii="宋体" w:hAnsi="宋体"/>
          <w:color w:val="000000"/>
          <w:szCs w:val="21"/>
          <w:u w:val="single"/>
        </w:rPr>
        <w:t>******</w:t>
      </w:r>
    </w:p>
    <w:bookmarkEnd w:id="1"/>
    <w:p w14:paraId="40CE0503">
      <w:r>
        <w:br w:type="page"/>
      </w:r>
    </w:p>
    <w:p w14:paraId="3AA31FE1">
      <w:pPr>
        <w:pStyle w:val="3"/>
        <w:spacing w:before="340" w:after="330" w:line="240" w:lineRule="auto"/>
        <w:jc w:val="center"/>
      </w:pPr>
      <w:bookmarkStart w:id="10" w:name="_Toc256000103"/>
      <w:r>
        <w:rPr>
          <w:rFonts w:ascii="宋体" w:hAnsi="宋体" w:eastAsia="宋体"/>
          <w:highlight w:val="white"/>
        </w:rPr>
        <w:t>第二部分  通用条件</w:t>
      </w:r>
      <w:bookmarkEnd w:id="10"/>
    </w:p>
    <w:p w14:paraId="1F0AC1C6">
      <w:pPr>
        <w:rPr>
          <w:highlight w:val="red"/>
        </w:rPr>
      </w:pPr>
      <w:bookmarkStart w:id="11" w:name="EB4993e6d24eb348ef9efb54801fe98b13"/>
    </w:p>
    <w:p w14:paraId="7AB883E5">
      <w:pPr>
        <w:pStyle w:val="41"/>
        <w:ind w:firstLine="422" w:firstLineChars="200"/>
      </w:pPr>
      <w:r>
        <w:rPr>
          <w:rFonts w:hint="eastAsia" w:hAnsi="宋体"/>
          <w:b/>
          <w:kern w:val="0"/>
          <w:szCs w:val="21"/>
        </w:rPr>
        <w:t>采用《</w:t>
      </w:r>
      <w:r>
        <w:rPr>
          <w:rFonts w:hAnsi="宋体"/>
          <w:b/>
          <w:kern w:val="0"/>
          <w:szCs w:val="21"/>
        </w:rPr>
        <w:t>建设工程</w:t>
      </w:r>
      <w:r>
        <w:rPr>
          <w:rFonts w:hint="eastAsia" w:hAnsi="宋体"/>
          <w:b/>
          <w:kern w:val="0"/>
          <w:szCs w:val="21"/>
        </w:rPr>
        <w:t>监理</w:t>
      </w:r>
      <w:r>
        <w:rPr>
          <w:rFonts w:hAnsi="宋体"/>
          <w:b/>
          <w:kern w:val="0"/>
          <w:szCs w:val="21"/>
        </w:rPr>
        <w:t>合同（示范文本）</w:t>
      </w:r>
      <w:r>
        <w:rPr>
          <w:rFonts w:hint="eastAsia" w:hAnsi="宋体"/>
          <w:b/>
          <w:kern w:val="0"/>
          <w:szCs w:val="21"/>
        </w:rPr>
        <w:t>》</w:t>
      </w:r>
      <w:r>
        <w:rPr>
          <w:rFonts w:hAnsi="宋体"/>
          <w:b/>
          <w:kern w:val="0"/>
          <w:szCs w:val="21"/>
        </w:rPr>
        <w:t>（ＧＦ－2012－0202）</w:t>
      </w:r>
      <w:r>
        <w:rPr>
          <w:rFonts w:hint="eastAsia" w:hAnsi="宋体"/>
          <w:b/>
          <w:kern w:val="0"/>
          <w:szCs w:val="21"/>
        </w:rPr>
        <w:t>。</w:t>
      </w:r>
    </w:p>
    <w:p w14:paraId="13A8E686">
      <w:pPr>
        <w:rPr>
          <w:sz w:val="20"/>
          <w:highlight w:val="white"/>
        </w:rPr>
      </w:pPr>
      <w:r>
        <w:rPr>
          <w:rFonts w:hint="eastAsia"/>
          <w:sz w:val="20"/>
          <w:highlight w:val="white"/>
        </w:rPr>
        <w:t xml:space="preserve"> </w:t>
      </w:r>
      <w:bookmarkEnd w:id="11"/>
    </w:p>
    <w:p w14:paraId="51A05F98">
      <w:pPr>
        <w:pStyle w:val="3"/>
        <w:spacing w:before="340" w:after="330" w:line="240" w:lineRule="auto"/>
        <w:jc w:val="center"/>
      </w:pPr>
      <w:bookmarkStart w:id="12" w:name="_Toc256000104"/>
      <w:r>
        <w:rPr>
          <w:rFonts w:ascii="宋体" w:hAnsi="宋体" w:eastAsia="宋体"/>
          <w:highlight w:val="white"/>
        </w:rPr>
        <w:t>第三部分  专用条件</w:t>
      </w:r>
      <w:bookmarkEnd w:id="12"/>
    </w:p>
    <w:p w14:paraId="10803DE9">
      <w:pPr>
        <w:rPr>
          <w:highlight w:val="red"/>
        </w:rPr>
      </w:pPr>
      <w:bookmarkStart w:id="13" w:name="EB72ba8a1e736f469dab6dd1a866ec0295"/>
    </w:p>
    <w:p w14:paraId="22D3D881">
      <w:pPr>
        <w:pStyle w:val="42"/>
        <w:widowControl/>
        <w:ind w:firstLine="422" w:firstLineChars="200"/>
        <w:rPr>
          <w:rFonts w:cs="Arial"/>
          <w:bCs w:val="0"/>
        </w:rPr>
      </w:pPr>
      <w:bookmarkStart w:id="14" w:name="_Toc256000105"/>
      <w:r>
        <w:rPr>
          <w:rFonts w:cs="Arial"/>
          <w:bCs w:val="0"/>
        </w:rPr>
        <w:t xml:space="preserve">1. </w:t>
      </w:r>
      <w:r>
        <w:rPr>
          <w:rFonts w:hint="eastAsia" w:ascii="黑体" w:hAnsi="宋体" w:cs="黑体"/>
          <w:bCs w:val="0"/>
        </w:rPr>
        <w:t>定义与解释</w:t>
      </w:r>
      <w:bookmarkEnd w:id="14"/>
    </w:p>
    <w:p w14:paraId="3425A3EE">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1.2  解释</w:t>
      </w:r>
    </w:p>
    <w:p w14:paraId="230EBDDA">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1.2.1 本合同文件除使用中文外，还可用</w:t>
      </w:r>
      <w:r>
        <w:rPr>
          <w:rFonts w:hint="eastAsia" w:ascii="宋体" w:hAnsi="宋体" w:eastAsia="宋体" w:cs="宋体"/>
          <w:szCs w:val="21"/>
          <w:u w:val="single"/>
          <w:lang w:bidi="ar"/>
        </w:rPr>
        <w:t>无</w:t>
      </w:r>
      <w:r>
        <w:rPr>
          <w:rFonts w:hint="eastAsia" w:ascii="宋体" w:hAnsi="宋体" w:eastAsia="宋体" w:cs="宋体"/>
          <w:szCs w:val="21"/>
          <w:lang w:bidi="ar"/>
        </w:rPr>
        <w:t>。</w:t>
      </w:r>
    </w:p>
    <w:p w14:paraId="07960640">
      <w:pPr>
        <w:pStyle w:val="43"/>
        <w:adjustRightInd w:val="0"/>
        <w:snapToGrid w:val="0"/>
        <w:spacing w:line="360" w:lineRule="auto"/>
        <w:ind w:firstLine="420" w:firstLineChars="200"/>
        <w:rPr>
          <w:rFonts w:hint="eastAsia" w:ascii="宋体" w:hAnsi="宋体" w:eastAsia="宋体" w:cs="宋体"/>
          <w:szCs w:val="21"/>
          <w:u w:val="single"/>
        </w:rPr>
      </w:pPr>
      <w:r>
        <w:rPr>
          <w:rFonts w:hint="eastAsia" w:ascii="宋体" w:hAnsi="宋体" w:eastAsia="宋体" w:cs="宋体"/>
          <w:szCs w:val="21"/>
          <w:lang w:bidi="ar"/>
        </w:rPr>
        <w:t>1.2.2 约定本合同文件的解释顺序为：</w:t>
      </w:r>
      <w:r>
        <w:rPr>
          <w:rFonts w:hint="eastAsia" w:ascii="宋体" w:hAnsi="宋体" w:eastAsia="宋体" w:cs="宋体"/>
          <w:szCs w:val="21"/>
          <w:u w:val="single"/>
          <w:lang w:bidi="ar"/>
        </w:rPr>
        <w:t>按通用条款1.2.2条</w:t>
      </w:r>
      <w:r>
        <w:rPr>
          <w:rFonts w:hint="eastAsia" w:ascii="宋体" w:hAnsi="宋体" w:eastAsia="宋体" w:cs="宋体"/>
          <w:szCs w:val="21"/>
          <w:lang w:bidi="ar"/>
        </w:rPr>
        <w:t>。</w:t>
      </w:r>
    </w:p>
    <w:p w14:paraId="217A859E">
      <w:pPr>
        <w:pStyle w:val="42"/>
        <w:widowControl/>
        <w:ind w:firstLine="422" w:firstLineChars="200"/>
        <w:rPr>
          <w:rFonts w:cs="Arial"/>
          <w:bCs w:val="0"/>
        </w:rPr>
      </w:pPr>
      <w:bookmarkStart w:id="15" w:name="_Toc256000106"/>
      <w:r>
        <w:rPr>
          <w:rFonts w:cs="Arial"/>
          <w:bCs w:val="0"/>
        </w:rPr>
        <w:t xml:space="preserve">2. </w:t>
      </w:r>
      <w:r>
        <w:rPr>
          <w:rFonts w:hint="eastAsia" w:ascii="黑体" w:hAnsi="宋体" w:cs="黑体"/>
          <w:bCs w:val="0"/>
        </w:rPr>
        <w:t>监理人义务</w:t>
      </w:r>
      <w:bookmarkEnd w:id="15"/>
    </w:p>
    <w:p w14:paraId="7464B2FF">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2.1关于监理人的监理权限： 监理人需要取得发包人书面批准才能行使的职权。</w:t>
      </w:r>
    </w:p>
    <w:p w14:paraId="5633CE1B">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（1）发布开工令、停工令及复工令。</w:t>
      </w:r>
    </w:p>
    <w:p w14:paraId="1C76CA30">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（2）延长工期或提高工程造价。</w:t>
      </w:r>
    </w:p>
    <w:p w14:paraId="143747E4">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（3）在工程施工合同约定的工程造价范围以外，工程进度款复核的确认权及否决权，工程竣工结算复核的确认权及否决权。</w:t>
      </w:r>
    </w:p>
    <w:p w14:paraId="27CDAF00">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（4）影响工期、工程费用、质量、进度的变更。</w:t>
      </w:r>
    </w:p>
    <w:p w14:paraId="18BF5D2F">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（5）工程建设有关协作单位的重要协调事项等。</w:t>
      </w:r>
    </w:p>
    <w:p w14:paraId="006680D0">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（6）确定本工程项目施工合同中通用合同条款第19条的索赔项目及索赔费用。</w:t>
      </w:r>
    </w:p>
    <w:p w14:paraId="77684988">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（7）有关暂定金额的使用。</w:t>
      </w:r>
    </w:p>
    <w:p w14:paraId="76D9D96B">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（8）确定本工程项目施工合同中通用合同条款第10.4款的变更单价。</w:t>
      </w:r>
    </w:p>
    <w:p w14:paraId="1E76E56B">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（9）其他涉及合同履行的重要事项。</w:t>
      </w:r>
    </w:p>
    <w:p w14:paraId="524C03F9">
      <w:pPr>
        <w:pStyle w:val="43"/>
        <w:adjustRightInd w:val="0"/>
        <w:snapToGrid w:val="0"/>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监理人未经发包人书面批准行使上述职权的，对发包人及承包人均不产生法律效力，由此产生的法律责任和损失由监理人和相关责任方承担，监理人除应当赔偿发包人的损失外，还应当按本合同暂定监理服务酬金的 5%向发包人支付违约金，同时发包人有权解除合同。</w:t>
      </w:r>
    </w:p>
    <w:p w14:paraId="494159F2">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2.2 监理的范围和</w:t>
      </w:r>
      <w:r>
        <w:rPr>
          <w:rFonts w:hint="eastAsia" w:ascii="宋体" w:hAnsi="宋体" w:eastAsia="宋体" w:cs="宋体"/>
          <w:bCs/>
          <w:szCs w:val="21"/>
          <w:lang w:bidi="ar"/>
        </w:rPr>
        <w:t>内容</w:t>
      </w:r>
    </w:p>
    <w:p w14:paraId="6B2487BB">
      <w:pPr>
        <w:pStyle w:val="43"/>
        <w:adjustRightInd w:val="0"/>
        <w:snapToGrid w:val="0"/>
        <w:spacing w:line="360" w:lineRule="auto"/>
        <w:ind w:firstLine="420" w:firstLineChars="200"/>
        <w:rPr>
          <w:rFonts w:hint="eastAsia" w:ascii="宋体" w:hAnsi="宋体" w:eastAsia="宋体" w:cs="宋体"/>
          <w:szCs w:val="21"/>
          <w:u w:val="single"/>
        </w:rPr>
      </w:pPr>
      <w:r>
        <w:rPr>
          <w:rFonts w:hint="eastAsia" w:ascii="宋体" w:hAnsi="宋体" w:eastAsia="宋体" w:cs="宋体"/>
          <w:szCs w:val="21"/>
          <w:lang w:bidi="ar"/>
        </w:rPr>
        <w:t>2.2.1 监理范围包括：</w:t>
      </w:r>
      <w:r>
        <w:rPr>
          <w:rFonts w:hint="eastAsia" w:ascii="宋体" w:hAnsi="宋体" w:eastAsia="宋体" w:cs="宋体"/>
          <w:kern w:val="0"/>
          <w:szCs w:val="21"/>
          <w:u w:val="single"/>
          <w:lang w:bidi="ar"/>
        </w:rPr>
        <w:t>施工全过程及保修阶段的监理（含质量控制、进度控制、投资控制、合同管理、信息管理、安全生产管理及现场组织协调等监理人的法定职责）</w:t>
      </w:r>
      <w:r>
        <w:rPr>
          <w:rFonts w:hint="eastAsia" w:ascii="宋体" w:hAnsi="宋体" w:eastAsia="宋体" w:cs="宋体"/>
          <w:szCs w:val="21"/>
          <w:lang w:bidi="ar"/>
        </w:rPr>
        <w:t>。</w:t>
      </w:r>
    </w:p>
    <w:p w14:paraId="73780392">
      <w:pPr>
        <w:pStyle w:val="43"/>
        <w:adjustRightInd w:val="0"/>
        <w:snapToGrid w:val="0"/>
        <w:spacing w:line="360" w:lineRule="auto"/>
        <w:ind w:firstLine="420" w:firstLineChars="200"/>
        <w:rPr>
          <w:rFonts w:hint="eastAsia" w:ascii="宋体" w:hAnsi="宋体" w:eastAsia="宋体" w:cs="宋体"/>
          <w:szCs w:val="21"/>
          <w:u w:val="single"/>
        </w:rPr>
      </w:pPr>
      <w:r>
        <w:rPr>
          <w:rFonts w:hint="eastAsia" w:ascii="宋体" w:hAnsi="宋体" w:eastAsia="宋体" w:cs="宋体"/>
          <w:szCs w:val="21"/>
          <w:lang w:bidi="ar"/>
        </w:rPr>
        <w:t>2.2.2 监理工作内容除通用</w:t>
      </w:r>
      <w:r>
        <w:rPr>
          <w:rFonts w:hint="eastAsia" w:ascii="宋体" w:hAnsi="宋体" w:eastAsia="宋体" w:cs="宋体"/>
          <w:szCs w:val="21"/>
          <w:u w:val="single"/>
          <w:lang w:bidi="ar"/>
        </w:rPr>
        <w:t>条款外还包括： ①现行的国家法律法规； ②有关技术标准； ③设计文件及工程图纸资料；④施工承包合同、监理合同及补充协议等文件所规定的监理人的职责和义务</w:t>
      </w:r>
      <w:r>
        <w:rPr>
          <w:rFonts w:hint="eastAsia" w:ascii="宋体" w:hAnsi="宋体" w:eastAsia="宋体" w:cs="宋体"/>
          <w:szCs w:val="21"/>
          <w:lang w:bidi="ar"/>
        </w:rPr>
        <w:t>。</w:t>
      </w:r>
    </w:p>
    <w:p w14:paraId="5E2DF4CB">
      <w:pPr>
        <w:pStyle w:val="43"/>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2.3 监理与相关服务依据</w:t>
      </w:r>
    </w:p>
    <w:p w14:paraId="2414FA39">
      <w:pPr>
        <w:pStyle w:val="43"/>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2.3.1 监理依据包括：</w:t>
      </w:r>
      <w:r>
        <w:rPr>
          <w:rFonts w:hint="eastAsia" w:ascii="宋体" w:hAnsi="宋体" w:eastAsia="宋体" w:cs="宋体"/>
          <w:szCs w:val="21"/>
          <w:u w:val="single"/>
          <w:lang w:bidi="ar"/>
        </w:rPr>
        <w:t>以通用条款为准</w:t>
      </w:r>
      <w:r>
        <w:rPr>
          <w:rFonts w:hint="eastAsia" w:ascii="宋体" w:hAnsi="宋体" w:eastAsia="宋体" w:cs="宋体"/>
          <w:szCs w:val="21"/>
          <w:lang w:bidi="ar"/>
        </w:rPr>
        <w:t>。</w:t>
      </w:r>
    </w:p>
    <w:p w14:paraId="53D01474">
      <w:pPr>
        <w:pStyle w:val="43"/>
        <w:adjustRightInd w:val="0"/>
        <w:snapToGrid w:val="0"/>
        <w:spacing w:line="360" w:lineRule="auto"/>
        <w:ind w:firstLine="420" w:firstLineChars="200"/>
        <w:rPr>
          <w:rFonts w:hint="eastAsia" w:ascii="宋体" w:hAnsi="宋体" w:eastAsia="宋体" w:cs="宋体"/>
          <w:dstrike/>
          <w:szCs w:val="21"/>
        </w:rPr>
      </w:pPr>
      <w:r>
        <w:rPr>
          <w:rFonts w:hint="eastAsia" w:ascii="宋体" w:hAnsi="宋体" w:eastAsia="宋体" w:cs="宋体"/>
          <w:szCs w:val="21"/>
          <w:lang w:bidi="ar"/>
        </w:rPr>
        <w:t>2.3.2 相关服务依据包括：</w:t>
      </w:r>
      <w:r>
        <w:rPr>
          <w:rFonts w:hint="eastAsia" w:ascii="宋体" w:hAnsi="宋体" w:eastAsia="宋体" w:cs="宋体"/>
          <w:szCs w:val="21"/>
          <w:u w:val="single"/>
          <w:lang w:bidi="ar"/>
        </w:rPr>
        <w:t>以通用条款为准</w:t>
      </w:r>
      <w:r>
        <w:rPr>
          <w:rFonts w:hint="eastAsia" w:ascii="宋体" w:hAnsi="宋体" w:eastAsia="宋体" w:cs="宋体"/>
          <w:szCs w:val="21"/>
          <w:lang w:bidi="ar"/>
        </w:rPr>
        <w:t>。</w:t>
      </w:r>
    </w:p>
    <w:p w14:paraId="70AD855F">
      <w:pPr>
        <w:pStyle w:val="43"/>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2.4</w:t>
      </w:r>
      <w:r>
        <w:rPr>
          <w:rFonts w:hint="eastAsia" w:ascii="宋体" w:hAnsi="宋体" w:eastAsia="宋体" w:cs="宋体"/>
          <w:kern w:val="0"/>
          <w:szCs w:val="21"/>
          <w:lang w:bidi="ar"/>
        </w:rPr>
        <w:t>项目监理机构和人员</w:t>
      </w:r>
    </w:p>
    <w:p w14:paraId="4BE2888B">
      <w:pPr>
        <w:pStyle w:val="43"/>
        <w:adjustRightInd w:val="0"/>
        <w:snapToGrid w:val="0"/>
        <w:spacing w:line="360" w:lineRule="auto"/>
        <w:ind w:firstLine="420" w:firstLineChars="200"/>
        <w:rPr>
          <w:rFonts w:hint="eastAsia" w:ascii="宋体" w:hAnsi="宋体" w:eastAsia="宋体" w:cs="宋体"/>
          <w:kern w:val="0"/>
          <w:szCs w:val="21"/>
          <w:u w:val="single"/>
        </w:rPr>
      </w:pPr>
      <w:r>
        <w:rPr>
          <w:rFonts w:hint="eastAsia" w:ascii="宋体" w:hAnsi="宋体" w:eastAsia="宋体" w:cs="宋体"/>
          <w:kern w:val="0"/>
          <w:szCs w:val="21"/>
          <w:lang w:bidi="ar"/>
        </w:rPr>
        <w:t>更换监理人员的其他情形：</w:t>
      </w:r>
      <w:r>
        <w:rPr>
          <w:rFonts w:hint="eastAsia" w:ascii="宋体" w:hAnsi="宋体" w:eastAsia="宋体" w:cs="宋体"/>
          <w:kern w:val="0"/>
          <w:szCs w:val="21"/>
          <w:u w:val="single"/>
          <w:lang w:bidi="ar"/>
        </w:rPr>
        <w:t>如监理人需要调换施工现场监理人员时，须经委托人与监理人双方协商，报委托人书面同意后方可更换。</w:t>
      </w:r>
    </w:p>
    <w:p w14:paraId="4C9D2013">
      <w:pPr>
        <w:pStyle w:val="43"/>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 xml:space="preserve">2.5 </w:t>
      </w:r>
      <w:r>
        <w:rPr>
          <w:rFonts w:hint="eastAsia" w:ascii="宋体" w:hAnsi="宋体" w:eastAsia="宋体" w:cs="宋体"/>
          <w:kern w:val="0"/>
          <w:szCs w:val="21"/>
          <w:lang w:bidi="ar"/>
        </w:rPr>
        <w:t>履行职责</w:t>
      </w:r>
    </w:p>
    <w:p w14:paraId="42E4621A">
      <w:pPr>
        <w:pStyle w:val="43"/>
        <w:adjustRightInd w:val="0"/>
        <w:snapToGrid w:val="0"/>
        <w:spacing w:line="360" w:lineRule="auto"/>
        <w:ind w:firstLine="420" w:firstLineChars="200"/>
        <w:rPr>
          <w:rFonts w:hint="eastAsia" w:ascii="宋体" w:hAnsi="宋体" w:eastAsia="宋体" w:cs="宋体"/>
          <w:szCs w:val="21"/>
          <w:u w:val="single"/>
        </w:rPr>
      </w:pPr>
      <w:r>
        <w:rPr>
          <w:rFonts w:hint="eastAsia" w:ascii="宋体" w:hAnsi="宋体" w:eastAsia="宋体" w:cs="宋体"/>
          <w:szCs w:val="21"/>
          <w:lang w:bidi="ar"/>
        </w:rPr>
        <w:t>2.5.1 对监理人的授权范围：</w:t>
      </w:r>
      <w:r>
        <w:rPr>
          <w:rFonts w:hint="eastAsia" w:ascii="宋体" w:hAnsi="宋体" w:eastAsia="宋体" w:cs="宋体"/>
          <w:szCs w:val="21"/>
          <w:u w:val="single"/>
          <w:lang w:bidi="ar"/>
        </w:rPr>
        <w:t>在涉及工期延展、设计或造价以及工程量变更、工程款的支付、开工及停工、复工等重大问题，监理人须请示委托人并经委托人加盖公章书面确认或授权后才可向承包人发布变更通知，否则均为无效，同时视为监理人违约 ，监理人应当承担由此造成委托人的经济损失。</w:t>
      </w:r>
    </w:p>
    <w:p w14:paraId="4E945A2F">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kern w:val="0"/>
          <w:szCs w:val="21"/>
          <w:lang w:bidi="ar"/>
        </w:rPr>
        <w:t xml:space="preserve">2.6 </w:t>
      </w:r>
      <w:r>
        <w:rPr>
          <w:rFonts w:hint="eastAsia" w:ascii="宋体" w:hAnsi="宋体" w:eastAsia="宋体" w:cs="宋体"/>
          <w:szCs w:val="21"/>
          <w:lang w:bidi="ar"/>
        </w:rPr>
        <w:t>提交</w:t>
      </w:r>
      <w:r>
        <w:rPr>
          <w:rFonts w:hint="eastAsia" w:ascii="宋体" w:hAnsi="宋体" w:eastAsia="宋体" w:cs="宋体"/>
          <w:kern w:val="0"/>
          <w:szCs w:val="21"/>
          <w:lang w:bidi="ar"/>
        </w:rPr>
        <w:t>报告</w:t>
      </w:r>
    </w:p>
    <w:p w14:paraId="2C5495A4">
      <w:pPr>
        <w:pStyle w:val="43"/>
        <w:adjustRightInd w:val="0"/>
        <w:snapToGrid w:val="0"/>
        <w:spacing w:line="360" w:lineRule="auto"/>
        <w:ind w:firstLine="420" w:firstLineChars="200"/>
        <w:rPr>
          <w:rFonts w:hint="eastAsia" w:ascii="宋体" w:hAnsi="宋体" w:eastAsia="宋体" w:cs="宋体"/>
          <w:szCs w:val="21"/>
          <w:u w:val="single"/>
        </w:rPr>
      </w:pPr>
      <w:r>
        <w:rPr>
          <w:rFonts w:hint="eastAsia" w:ascii="宋体" w:hAnsi="宋体" w:eastAsia="宋体" w:cs="宋体"/>
          <w:szCs w:val="21"/>
          <w:lang w:bidi="ar"/>
        </w:rPr>
        <w:t>监理人应提交报告的种类（</w:t>
      </w:r>
      <w:r>
        <w:rPr>
          <w:rFonts w:hint="eastAsia" w:ascii="宋体" w:hAnsi="宋体" w:eastAsia="宋体" w:cs="宋体"/>
          <w:kern w:val="0"/>
          <w:szCs w:val="21"/>
          <w:lang w:bidi="ar"/>
        </w:rPr>
        <w:t>包括监理规划、监理实施细则、监理月报及约定的专项报告）</w:t>
      </w:r>
      <w:r>
        <w:rPr>
          <w:rFonts w:hint="eastAsia" w:ascii="宋体" w:hAnsi="宋体" w:eastAsia="宋体" w:cs="宋体"/>
          <w:szCs w:val="21"/>
          <w:lang w:bidi="ar"/>
        </w:rPr>
        <w:t>、时间和份数</w:t>
      </w:r>
      <w:r>
        <w:rPr>
          <w:rFonts w:hint="eastAsia" w:ascii="宋体" w:hAnsi="宋体" w:eastAsia="宋体" w:cs="宋体"/>
          <w:kern w:val="0"/>
          <w:szCs w:val="21"/>
          <w:lang w:bidi="ar"/>
        </w:rPr>
        <w:t>：</w:t>
      </w:r>
      <w:r>
        <w:rPr>
          <w:rFonts w:hint="eastAsia" w:ascii="宋体" w:hAnsi="宋体" w:eastAsia="宋体" w:cs="宋体"/>
          <w:kern w:val="0"/>
          <w:szCs w:val="21"/>
          <w:u w:val="single"/>
          <w:lang w:bidi="ar"/>
        </w:rPr>
        <w:t>工程开工前提交监理规划一式二份，每月25日前提交监理月报一式二份，并应委托人要求作出补充说明</w:t>
      </w:r>
      <w:r>
        <w:rPr>
          <w:rFonts w:hint="eastAsia" w:ascii="宋体" w:hAnsi="宋体" w:eastAsia="宋体" w:cs="宋体"/>
          <w:szCs w:val="21"/>
          <w:u w:val="single"/>
          <w:lang w:bidi="ar"/>
        </w:rPr>
        <w:t xml:space="preserve"> 。</w:t>
      </w:r>
    </w:p>
    <w:p w14:paraId="43FD82E1">
      <w:pPr>
        <w:pStyle w:val="43"/>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2.7 使用委托人的财产</w:t>
      </w:r>
    </w:p>
    <w:p w14:paraId="6F92C475">
      <w:pPr>
        <w:pStyle w:val="43"/>
        <w:spacing w:line="360" w:lineRule="auto"/>
        <w:ind w:firstLine="420" w:firstLineChars="200"/>
        <w:jc w:val="left"/>
        <w:rPr>
          <w:rFonts w:hint="eastAsia" w:ascii="宋体" w:hAnsi="宋体" w:eastAsia="宋体" w:cs="宋体"/>
          <w:kern w:val="0"/>
          <w:szCs w:val="21"/>
        </w:rPr>
      </w:pPr>
      <w:r>
        <w:rPr>
          <w:rFonts w:hint="eastAsia" w:ascii="宋体" w:hAnsi="宋体" w:eastAsia="宋体" w:cs="宋体"/>
          <w:szCs w:val="21"/>
          <w:lang w:bidi="ar"/>
        </w:rPr>
        <w:t>附录B中由委托人无偿提供给监理人使用的房屋的所有权属于：</w:t>
      </w:r>
      <w:r>
        <w:rPr>
          <w:rFonts w:hint="eastAsia" w:ascii="宋体" w:hAnsi="宋体" w:eastAsia="宋体" w:cs="宋体"/>
          <w:szCs w:val="21"/>
          <w:u w:val="single"/>
          <w:lang w:bidi="ar"/>
        </w:rPr>
        <w:t>委托人所有</w:t>
      </w:r>
      <w:r>
        <w:rPr>
          <w:rFonts w:hint="eastAsia" w:ascii="宋体" w:hAnsi="宋体" w:eastAsia="宋体" w:cs="宋体"/>
          <w:szCs w:val="21"/>
          <w:lang w:bidi="ar"/>
        </w:rPr>
        <w:t>。</w:t>
      </w:r>
    </w:p>
    <w:p w14:paraId="6C87AAB9">
      <w:pPr>
        <w:pStyle w:val="43"/>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监理人应在本合同终止后</w:t>
      </w:r>
      <w:r>
        <w:rPr>
          <w:rFonts w:hint="eastAsia" w:ascii="宋体" w:hAnsi="宋体" w:eastAsia="宋体" w:cs="宋体"/>
          <w:szCs w:val="21"/>
          <w:u w:val="single"/>
          <w:lang w:bidi="ar"/>
        </w:rPr>
        <w:t xml:space="preserve"> 7 </w:t>
      </w:r>
      <w:r>
        <w:rPr>
          <w:rFonts w:hint="eastAsia" w:ascii="宋体" w:hAnsi="宋体" w:eastAsia="宋体" w:cs="宋体"/>
          <w:szCs w:val="21"/>
          <w:lang w:bidi="ar"/>
        </w:rPr>
        <w:t>天内移交委托人无偿提供的房屋，移交的时间和方式为：</w:t>
      </w:r>
      <w:r>
        <w:rPr>
          <w:rFonts w:hint="eastAsia" w:ascii="宋体" w:hAnsi="宋体" w:eastAsia="宋体" w:cs="宋体"/>
          <w:szCs w:val="21"/>
          <w:u w:val="single"/>
          <w:lang w:bidi="ar"/>
        </w:rPr>
        <w:t>7天内现状</w:t>
      </w:r>
      <w:r>
        <w:rPr>
          <w:rFonts w:hint="eastAsia" w:ascii="宋体" w:hAnsi="宋体" w:eastAsia="宋体" w:cs="宋体"/>
          <w:szCs w:val="21"/>
          <w:lang w:bidi="ar"/>
        </w:rPr>
        <w:t>。</w:t>
      </w:r>
    </w:p>
    <w:p w14:paraId="2BAD5C8A">
      <w:pPr>
        <w:pStyle w:val="43"/>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2.8 使用委托人的财产</w:t>
      </w:r>
    </w:p>
    <w:p w14:paraId="34C3F22D">
      <w:pPr>
        <w:pStyle w:val="43"/>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监理人无偿使用附录B中由委托人提供的房屋、资料。委托人提供的房屋属于委托人的财产，监理人应妥善管理使用，</w:t>
      </w:r>
      <w:r>
        <w:rPr>
          <w:rFonts w:hint="eastAsia" w:ascii="宋体" w:hAnsi="宋体" w:eastAsia="宋体" w:cs="宋体"/>
          <w:szCs w:val="21"/>
          <w:u w:val="single"/>
          <w:lang w:bidi="ar"/>
        </w:rPr>
        <w:t>不得将房屋用于与本项目无关的用途，不得损坏房屋及相关附属设施。</w:t>
      </w:r>
      <w:r>
        <w:rPr>
          <w:rFonts w:hint="eastAsia" w:ascii="宋体" w:hAnsi="宋体" w:eastAsia="宋体" w:cs="宋体"/>
          <w:szCs w:val="21"/>
          <w:lang w:bidi="ar"/>
        </w:rPr>
        <w:t>如因监理人使用、管理不善造成房屋</w:t>
      </w:r>
      <w:r>
        <w:rPr>
          <w:rFonts w:hint="eastAsia" w:ascii="宋体" w:hAnsi="宋体" w:eastAsia="宋体" w:cs="宋体"/>
          <w:szCs w:val="21"/>
          <w:u w:val="single"/>
          <w:lang w:bidi="ar"/>
        </w:rPr>
        <w:t>或附属设施设备</w:t>
      </w:r>
      <w:r>
        <w:rPr>
          <w:rFonts w:hint="eastAsia" w:ascii="宋体" w:hAnsi="宋体" w:eastAsia="宋体" w:cs="宋体"/>
          <w:szCs w:val="21"/>
          <w:lang w:bidi="ar"/>
        </w:rPr>
        <w:t>毁损的，监理人应当负责修复或赔偿委托人损失，同时委托人有权收回房屋，不再向监理人免费提供办公用房。</w:t>
      </w:r>
    </w:p>
    <w:p w14:paraId="5C2E6C3B">
      <w:pPr>
        <w:pStyle w:val="43"/>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lang w:bidi="ar"/>
        </w:rPr>
        <w:t>监理人应当自行支付使用房屋所产生的水电、宽带等费用。</w:t>
      </w:r>
    </w:p>
    <w:p w14:paraId="7BFB0300">
      <w:pPr>
        <w:pStyle w:val="43"/>
        <w:spacing w:line="360" w:lineRule="auto"/>
        <w:ind w:firstLine="422" w:firstLineChars="200"/>
        <w:rPr>
          <w:b/>
          <w:szCs w:val="21"/>
        </w:rPr>
      </w:pPr>
      <w:r>
        <w:rPr>
          <w:b/>
          <w:kern w:val="0"/>
          <w:szCs w:val="21"/>
          <w:lang w:bidi="ar"/>
        </w:rPr>
        <w:t xml:space="preserve">3. </w:t>
      </w:r>
      <w:r>
        <w:rPr>
          <w:rFonts w:hint="eastAsia" w:ascii="宋体" w:hAnsi="宋体" w:cs="宋体"/>
          <w:b/>
          <w:kern w:val="0"/>
          <w:szCs w:val="21"/>
          <w:lang w:bidi="ar"/>
        </w:rPr>
        <w:t xml:space="preserve">委托人义务  </w:t>
      </w:r>
    </w:p>
    <w:p w14:paraId="67AF0298">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kern w:val="0"/>
          <w:szCs w:val="21"/>
          <w:lang w:bidi="ar"/>
        </w:rPr>
        <w:t>3.1 委托人代表</w:t>
      </w:r>
    </w:p>
    <w:p w14:paraId="40037B21">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委托人代表为：</w:t>
      </w:r>
      <w:r>
        <w:rPr>
          <w:rFonts w:hint="eastAsia" w:ascii="宋体" w:hAnsi="宋体" w:eastAsia="宋体" w:cs="宋体"/>
          <w:szCs w:val="21"/>
          <w:u w:val="single"/>
          <w:lang w:bidi="ar"/>
        </w:rPr>
        <w:t xml:space="preserve"> **** </w:t>
      </w:r>
    </w:p>
    <w:p w14:paraId="609768C5">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委托人代表的权限为：限工作联系，凡涉及工程量、工期、价格、工程款等等重大事项需加盖委托人公章才有效。</w:t>
      </w:r>
    </w:p>
    <w:p w14:paraId="2B9B27DB">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3.3提供工作条件</w:t>
      </w:r>
    </w:p>
    <w:p w14:paraId="7A54D1AD">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kern w:val="0"/>
          <w:szCs w:val="21"/>
          <w:lang w:bidi="ar"/>
        </w:rPr>
        <w:t xml:space="preserve">3.3.1 </w:t>
      </w:r>
      <w:r>
        <w:rPr>
          <w:rFonts w:hint="eastAsia" w:ascii="宋体" w:hAnsi="宋体" w:eastAsia="宋体" w:cs="宋体"/>
          <w:szCs w:val="21"/>
          <w:lang w:bidi="ar"/>
        </w:rPr>
        <w:t>委托人应按照附录B约定，提供房屋，供监理人</w:t>
      </w:r>
      <w:r>
        <w:rPr>
          <w:rFonts w:hint="eastAsia" w:ascii="宋体" w:hAnsi="宋体" w:eastAsia="宋体" w:cs="宋体"/>
          <w:kern w:val="0"/>
          <w:szCs w:val="21"/>
          <w:lang w:bidi="ar"/>
        </w:rPr>
        <w:t>无偿</w:t>
      </w:r>
      <w:r>
        <w:rPr>
          <w:rFonts w:hint="eastAsia" w:ascii="宋体" w:hAnsi="宋体" w:eastAsia="宋体" w:cs="宋体"/>
          <w:szCs w:val="21"/>
          <w:lang w:bidi="ar"/>
        </w:rPr>
        <w:t>使用。</w:t>
      </w:r>
    </w:p>
    <w:p w14:paraId="22FCC0E0">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 xml:space="preserve">  3.5委托人意见或要求</w:t>
      </w:r>
    </w:p>
    <w:p w14:paraId="558021EC">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在本合同约定的监理与相关服务工作范围内，委托人对承包人的任何意见或要求应通知监理人，由监理人向承包人发出相应指令，监理人未及时向承包人发出指令或指令有误造成委托人损失的，视为监理人违约，须赔偿委托人的经济损失，并按本合同</w:t>
      </w:r>
      <w:r>
        <w:rPr>
          <w:rFonts w:hint="eastAsia" w:ascii="宋体" w:hAnsi="宋体" w:eastAsia="宋体" w:cs="宋体"/>
          <w:kern w:val="0"/>
          <w:szCs w:val="21"/>
          <w:lang w:bidi="ar"/>
        </w:rPr>
        <w:t>暂定监理服务报酬的</w:t>
      </w:r>
      <w:r>
        <w:rPr>
          <w:rFonts w:hint="eastAsia" w:ascii="宋体" w:hAnsi="宋体" w:eastAsia="宋体" w:cs="宋体"/>
          <w:szCs w:val="21"/>
          <w:lang w:bidi="ar"/>
        </w:rPr>
        <w:t>的5%向委托人支付违约金。</w:t>
      </w:r>
    </w:p>
    <w:p w14:paraId="2FA23EB1">
      <w:pPr>
        <w:pStyle w:val="43"/>
        <w:adjustRightInd w:val="0"/>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3.6答复</w:t>
      </w:r>
    </w:p>
    <w:p w14:paraId="7E4BCB9D">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对监理人书面提交并要求做出决定的事项，委托人人应在</w:t>
      </w:r>
      <w:r>
        <w:rPr>
          <w:rFonts w:hint="eastAsia" w:ascii="宋体" w:hAnsi="宋体" w:eastAsia="宋体" w:cs="宋体"/>
          <w:szCs w:val="21"/>
          <w:u w:val="single"/>
          <w:lang w:bidi="ar"/>
        </w:rPr>
        <w:t xml:space="preserve"> 14 </w:t>
      </w:r>
      <w:r>
        <w:rPr>
          <w:rFonts w:hint="eastAsia" w:ascii="宋体" w:hAnsi="宋体" w:eastAsia="宋体" w:cs="宋体"/>
          <w:szCs w:val="21"/>
          <w:lang w:bidi="ar"/>
        </w:rPr>
        <w:t>天内给予书面答复，不能答复的作出书面说明。</w:t>
      </w:r>
    </w:p>
    <w:p w14:paraId="3CCF3288">
      <w:pPr>
        <w:pStyle w:val="43"/>
        <w:snapToGrid w:val="0"/>
        <w:spacing w:line="360" w:lineRule="auto"/>
        <w:ind w:firstLine="422" w:firstLineChars="200"/>
        <w:rPr>
          <w:b/>
          <w:szCs w:val="21"/>
        </w:rPr>
      </w:pPr>
      <w:r>
        <w:rPr>
          <w:b/>
          <w:szCs w:val="21"/>
          <w:lang w:bidi="ar"/>
        </w:rPr>
        <w:t xml:space="preserve">4. </w:t>
      </w:r>
      <w:r>
        <w:rPr>
          <w:rFonts w:hint="eastAsia" w:ascii="宋体" w:hAnsi="宋体" w:cs="宋体"/>
          <w:b/>
          <w:szCs w:val="21"/>
          <w:lang w:bidi="ar"/>
        </w:rPr>
        <w:t>违约责任</w:t>
      </w:r>
    </w:p>
    <w:p w14:paraId="73D265D8">
      <w:pPr>
        <w:pStyle w:val="43"/>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4.1 监理人的违约责任</w:t>
      </w:r>
    </w:p>
    <w:p w14:paraId="6999F286">
      <w:pPr>
        <w:pStyle w:val="43"/>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（1）如监理人不履行通用的条款第2.1条约定的各项监理职责的，每次应当向委托人支付5000元违约金，累计达三次以上的，委托人有权解除合同。</w:t>
      </w:r>
    </w:p>
    <w:p w14:paraId="51F9DD77">
      <w:pPr>
        <w:pStyle w:val="43"/>
        <w:adjustRightInd w:val="0"/>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（2）如因监理人的原因造成发包人损失的，监理人违约应向委托人支付的违约金额按下列方法确定：</w:t>
      </w:r>
      <w:r>
        <w:rPr>
          <w:rFonts w:hint="eastAsia" w:ascii="宋体" w:hAnsi="宋体" w:eastAsia="宋体" w:cs="宋体"/>
          <w:szCs w:val="21"/>
          <w:lang w:bidi="ar"/>
        </w:rPr>
        <w:t>违约金</w:t>
      </w:r>
      <w:r>
        <w:rPr>
          <w:rFonts w:hint="eastAsia" w:ascii="宋体" w:hAnsi="宋体" w:eastAsia="宋体" w:cs="宋体"/>
          <w:kern w:val="0"/>
          <w:szCs w:val="21"/>
          <w:lang w:bidi="ar"/>
        </w:rPr>
        <w:t>=直接经济损失÷建筑安装工程费×正常工作酬金</w:t>
      </w:r>
      <w:r>
        <w:rPr>
          <w:rFonts w:hint="eastAsia" w:ascii="宋体" w:hAnsi="宋体" w:eastAsia="宋体" w:cs="宋体"/>
          <w:szCs w:val="21"/>
          <w:lang w:bidi="ar"/>
        </w:rPr>
        <w:t>的三倍。</w:t>
      </w:r>
    </w:p>
    <w:p w14:paraId="79B1EF73">
      <w:pPr>
        <w:pStyle w:val="43"/>
        <w:adjustRightInd w:val="0"/>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3）如因监理人违约影响本合同的履行或监理人不能正常履职时的，委托人有权解除合同，监理人应当按合同暂定监理报酬的30%向委托人支付违约金，未支付的监理服务报酬无须支付，违约金不足以弥补委托人损失的，监理人还应当赔偿委托人的损失。</w:t>
      </w:r>
    </w:p>
    <w:p w14:paraId="3A3C0B16">
      <w:pPr>
        <w:pStyle w:val="43"/>
        <w:adjustRightInd w:val="0"/>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（4）</w:t>
      </w:r>
      <w:r>
        <w:rPr>
          <w:rFonts w:hint="eastAsia" w:ascii="宋体" w:hAnsi="宋体" w:eastAsia="宋体" w:cs="宋体"/>
          <w:szCs w:val="21"/>
          <w:lang w:bidi="ar"/>
        </w:rPr>
        <w:t>监理人给委托人造成损失的，应当赔偿给委托人造成的全部损失，赔偿金额不以监理酬金为限，损失赔偿内容包括但不限于直接损失、预期利益损失、总工期损失、停窝工损失、委托人向第三人支付的违约金、赔偿金以及为索赔支出的诉讼费、保全费、保全责任保险费、律师费、差旅费等全部费用。</w:t>
      </w:r>
    </w:p>
    <w:p w14:paraId="2C820BA8">
      <w:pPr>
        <w:pStyle w:val="43"/>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4.2 委托人的违约责任</w:t>
      </w:r>
    </w:p>
    <w:p w14:paraId="5510B524">
      <w:pPr>
        <w:pStyle w:val="43"/>
        <w:snapToGrid w:val="0"/>
        <w:spacing w:line="360" w:lineRule="auto"/>
        <w:ind w:firstLine="420" w:firstLineChars="200"/>
        <w:rPr>
          <w:rFonts w:hint="eastAsia" w:ascii="宋体" w:hAnsi="宋体" w:eastAsia="宋体" w:cs="宋体"/>
          <w:color w:val="1D1D1F"/>
          <w:shd w:val="clear" w:color="auto" w:fill="FFFFFF"/>
        </w:rPr>
      </w:pPr>
      <w:r>
        <w:rPr>
          <w:rFonts w:hint="eastAsia" w:ascii="宋体" w:hAnsi="宋体" w:eastAsia="宋体" w:cs="宋体"/>
          <w:color w:val="1D1D1F"/>
          <w:shd w:val="clear" w:color="auto" w:fill="FFFFFF"/>
        </w:rPr>
        <w:t>委托人未按本合同约定支付监理</w:t>
      </w:r>
      <w:r>
        <w:rPr>
          <w:rFonts w:hint="eastAsia" w:ascii="宋体" w:hAnsi="宋体" w:eastAsia="宋体" w:cs="宋体"/>
          <w:color w:val="1D1D1F"/>
          <w:shd w:val="clear" w:color="auto" w:fill="FFFFFF"/>
          <w:lang w:val="en-US" w:eastAsia="zh-CN"/>
        </w:rPr>
        <w:t>费</w:t>
      </w:r>
      <w:r>
        <w:rPr>
          <w:rFonts w:hint="eastAsia" w:ascii="宋体" w:hAnsi="宋体" w:eastAsia="宋体" w:cs="宋体"/>
          <w:color w:val="1D1D1F"/>
          <w:shd w:val="clear" w:color="auto" w:fill="FFFFFF"/>
        </w:rPr>
        <w:t>的，监理人应书面催告委托人在15个工作日内支付。委托人收到催告后仍未支付的，应从催告期满之次日起，按全国银行间同业拆借中心公布的一年期贷款市场报价利率（LPR）向监理人支付逾期付款违约金，累计违约金不超过未付款项的5%。</w:t>
      </w:r>
    </w:p>
    <w:p w14:paraId="44B4BDD9">
      <w:pPr>
        <w:pStyle w:val="43"/>
        <w:snapToGrid w:val="0"/>
        <w:spacing w:line="360" w:lineRule="auto"/>
        <w:ind w:firstLine="422" w:firstLineChars="200"/>
        <w:rPr>
          <w:b/>
          <w:szCs w:val="21"/>
        </w:rPr>
      </w:pPr>
      <w:r>
        <w:rPr>
          <w:b/>
          <w:szCs w:val="21"/>
          <w:lang w:bidi="ar"/>
        </w:rPr>
        <w:t xml:space="preserve">5. </w:t>
      </w:r>
      <w:r>
        <w:rPr>
          <w:rFonts w:hint="eastAsia" w:ascii="宋体" w:hAnsi="宋体" w:cs="宋体"/>
          <w:b/>
          <w:szCs w:val="21"/>
          <w:lang w:bidi="ar"/>
        </w:rPr>
        <w:t>支付</w:t>
      </w:r>
    </w:p>
    <w:p w14:paraId="64E417A1">
      <w:pPr>
        <w:pStyle w:val="43"/>
        <w:snapToGrid w:val="0"/>
        <w:spacing w:line="360" w:lineRule="auto"/>
        <w:ind w:firstLine="420" w:firstLineChars="200"/>
        <w:rPr>
          <w:rFonts w:hint="eastAsia" w:ascii="宋体" w:hAnsi="宋体" w:eastAsia="宋体" w:cs="宋体"/>
          <w:szCs w:val="21"/>
          <w:u w:val="single"/>
        </w:rPr>
      </w:pPr>
      <w:r>
        <w:rPr>
          <w:rFonts w:hint="eastAsia" w:ascii="宋体" w:hAnsi="宋体" w:eastAsia="宋体" w:cs="宋体"/>
          <w:szCs w:val="21"/>
          <w:lang w:bidi="ar"/>
        </w:rPr>
        <w:t xml:space="preserve">5.1 </w:t>
      </w:r>
      <w:r>
        <w:rPr>
          <w:rFonts w:hint="eastAsia" w:ascii="宋体" w:hAnsi="宋体" w:eastAsia="宋体" w:cs="宋体"/>
          <w:bCs/>
          <w:szCs w:val="21"/>
          <w:lang w:bidi="ar"/>
        </w:rPr>
        <w:t>支付货币：</w:t>
      </w:r>
      <w:r>
        <w:rPr>
          <w:rFonts w:hint="eastAsia" w:ascii="宋体" w:hAnsi="宋体" w:eastAsia="宋体" w:cs="宋体"/>
          <w:szCs w:val="21"/>
          <w:u w:val="single"/>
          <w:lang w:bidi="ar"/>
        </w:rPr>
        <w:t>人民币</w:t>
      </w:r>
      <w:r>
        <w:rPr>
          <w:rFonts w:hint="eastAsia" w:ascii="宋体" w:hAnsi="宋体" w:eastAsia="宋体" w:cs="宋体"/>
          <w:szCs w:val="21"/>
          <w:lang w:bidi="ar"/>
        </w:rPr>
        <w:t>。</w:t>
      </w:r>
    </w:p>
    <w:p w14:paraId="1D6B679D">
      <w:pPr>
        <w:pStyle w:val="43"/>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5.2 支付</w:t>
      </w:r>
      <w:r>
        <w:rPr>
          <w:rFonts w:hint="eastAsia" w:ascii="宋体" w:hAnsi="宋体" w:eastAsia="宋体" w:cs="宋体"/>
          <w:kern w:val="0"/>
          <w:szCs w:val="21"/>
          <w:lang w:val="en-US" w:eastAsia="zh-CN" w:bidi="ar"/>
        </w:rPr>
        <w:t>监理费</w:t>
      </w:r>
    </w:p>
    <w:p w14:paraId="3C72A9A2">
      <w:pPr>
        <w:pStyle w:val="43"/>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委托人同意按以下的计算方法、支付时间与金额，支付监理人的服务</w:t>
      </w:r>
      <w:r>
        <w:rPr>
          <w:rFonts w:hint="eastAsia" w:ascii="宋体" w:hAnsi="宋体" w:eastAsia="宋体" w:cs="宋体"/>
          <w:kern w:val="0"/>
          <w:szCs w:val="21"/>
          <w:lang w:val="en-US" w:eastAsia="zh-CN" w:bidi="ar"/>
        </w:rPr>
        <w:t>费</w:t>
      </w:r>
      <w:r>
        <w:rPr>
          <w:rFonts w:hint="eastAsia" w:ascii="宋体" w:hAnsi="宋体" w:eastAsia="宋体" w:cs="宋体"/>
          <w:kern w:val="0"/>
          <w:szCs w:val="21"/>
          <w:lang w:bidi="ar"/>
        </w:rPr>
        <w:t>：</w:t>
      </w:r>
    </w:p>
    <w:p w14:paraId="15E27D27">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5.2.1监理服务</w:t>
      </w:r>
      <w:r>
        <w:rPr>
          <w:rFonts w:hint="eastAsia" w:ascii="宋体" w:hAnsi="宋体" w:eastAsia="宋体" w:cs="宋体"/>
          <w:szCs w:val="21"/>
          <w:lang w:val="en-US" w:eastAsia="zh-CN" w:bidi="ar"/>
        </w:rPr>
        <w:t>费</w:t>
      </w:r>
      <w:r>
        <w:rPr>
          <w:rFonts w:hint="eastAsia" w:ascii="宋体" w:hAnsi="宋体" w:eastAsia="宋体" w:cs="宋体"/>
          <w:szCs w:val="21"/>
          <w:lang w:bidi="ar"/>
        </w:rPr>
        <w:t>计算方法：</w:t>
      </w:r>
    </w:p>
    <w:p w14:paraId="2CE7F7B8">
      <w:pPr>
        <w:pStyle w:val="43"/>
        <w:snapToGrid w:val="0"/>
        <w:spacing w:line="360" w:lineRule="auto"/>
        <w:ind w:firstLine="420" w:firstLineChars="200"/>
        <w:rPr>
          <w:rFonts w:hint="eastAsia" w:ascii="宋体" w:hAnsi="宋体" w:eastAsia="宋体" w:cs="宋体"/>
          <w:kern w:val="0"/>
          <w:szCs w:val="21"/>
          <w:lang w:bidi="ar"/>
        </w:rPr>
      </w:pPr>
      <w:r>
        <w:rPr>
          <w:rFonts w:hint="eastAsia" w:ascii="宋体" w:hAnsi="宋体" w:eastAsia="宋体" w:cs="宋体"/>
          <w:kern w:val="0"/>
          <w:szCs w:val="21"/>
          <w:lang w:bidi="ar"/>
        </w:rPr>
        <w:t>监理服务费=监理费基准价</w:t>
      </w:r>
      <w:r>
        <w:rPr>
          <w:rFonts w:hint="eastAsia" w:ascii="宋体" w:hAnsi="宋体" w:eastAsia="宋体" w:cs="宋体"/>
          <w:szCs w:val="21"/>
          <w:lang w:bidi="ar"/>
        </w:rPr>
        <w:t>×</w:t>
      </w:r>
      <w:r>
        <w:rPr>
          <w:rFonts w:hint="eastAsia" w:ascii="宋体" w:hAnsi="宋体" w:eastAsia="宋体" w:cs="宋体"/>
          <w:kern w:val="0"/>
          <w:szCs w:val="21"/>
          <w:lang w:bidi="ar"/>
        </w:rPr>
        <w:t>(1-中选下浮系数)；中选下浮系数为</w:t>
      </w:r>
      <w:r>
        <w:rPr>
          <w:rFonts w:hint="eastAsia" w:ascii="宋体" w:hAnsi="宋体" w:eastAsia="宋体" w:cs="宋体"/>
          <w:kern w:val="0"/>
          <w:szCs w:val="21"/>
          <w:u w:val="single"/>
          <w:lang w:bidi="ar"/>
        </w:rPr>
        <w:t xml:space="preserve">  ****   %</w:t>
      </w:r>
      <w:r>
        <w:rPr>
          <w:rFonts w:hint="eastAsia" w:ascii="宋体" w:hAnsi="宋体" w:eastAsia="宋体" w:cs="宋体"/>
          <w:kern w:val="0"/>
          <w:szCs w:val="21"/>
          <w:lang w:bidi="ar"/>
        </w:rPr>
        <w:t>；</w:t>
      </w:r>
    </w:p>
    <w:p w14:paraId="40F368F1">
      <w:pPr>
        <w:pStyle w:val="43"/>
        <w:snapToGrid w:val="0"/>
        <w:spacing w:line="360" w:lineRule="auto"/>
        <w:ind w:firstLine="420" w:firstLineChars="200"/>
        <w:rPr>
          <w:rFonts w:hint="eastAsia" w:ascii="宋体" w:hAnsi="宋体" w:eastAsia="宋体" w:cs="宋体"/>
          <w:kern w:val="0"/>
          <w:szCs w:val="21"/>
          <w:lang w:bidi="ar"/>
        </w:rPr>
      </w:pPr>
      <w:r>
        <w:rPr>
          <w:rFonts w:hint="eastAsia" w:ascii="宋体" w:hAnsi="宋体" w:eastAsia="宋体" w:cs="宋体"/>
          <w:kern w:val="0"/>
          <w:szCs w:val="21"/>
          <w:lang w:bidi="ar"/>
        </w:rPr>
        <w:t>合同暂定监理</w:t>
      </w:r>
      <w:r>
        <w:rPr>
          <w:rFonts w:hint="eastAsia" w:ascii="宋体" w:hAnsi="宋体" w:eastAsia="宋体" w:cs="宋体"/>
          <w:kern w:val="0"/>
          <w:szCs w:val="21"/>
          <w:lang w:val="en-US" w:eastAsia="zh-CN" w:bidi="ar"/>
        </w:rPr>
        <w:t>费包干总价</w:t>
      </w:r>
      <w:r>
        <w:rPr>
          <w:rFonts w:hint="eastAsia" w:ascii="宋体" w:hAnsi="宋体" w:eastAsia="宋体" w:cs="宋体"/>
          <w:kern w:val="0"/>
          <w:szCs w:val="21"/>
          <w:lang w:bidi="ar"/>
        </w:rPr>
        <w:t>为****元，最终监理费</w:t>
      </w:r>
      <w:r>
        <w:rPr>
          <w:rFonts w:hint="eastAsia" w:ascii="宋体" w:hAnsi="宋体" w:eastAsia="宋体" w:cs="宋体"/>
          <w:kern w:val="0"/>
          <w:szCs w:val="21"/>
          <w:lang w:val="en-US" w:eastAsia="zh-CN" w:bidi="ar"/>
        </w:rPr>
        <w:t>包干总价</w:t>
      </w:r>
      <w:r>
        <w:rPr>
          <w:rFonts w:hint="eastAsia" w:ascii="宋体" w:hAnsi="宋体" w:eastAsia="宋体" w:cs="宋体"/>
          <w:kern w:val="0"/>
          <w:szCs w:val="21"/>
          <w:lang w:bidi="ar"/>
        </w:rPr>
        <w:t>的基准价以施工合同签约金额（扣除暂列金额）为基数进行结算。</w:t>
      </w:r>
    </w:p>
    <w:p w14:paraId="0C03EA8A">
      <w:pPr>
        <w:pStyle w:val="43"/>
        <w:snapToGrid w:val="0"/>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lang w:bidi="ar"/>
        </w:rPr>
        <w:t>监理</w:t>
      </w:r>
      <w:r>
        <w:rPr>
          <w:rFonts w:hint="eastAsia" w:ascii="宋体" w:hAnsi="宋体" w:eastAsia="宋体" w:cs="宋体"/>
          <w:kern w:val="0"/>
          <w:szCs w:val="21"/>
          <w:lang w:val="en-US" w:eastAsia="zh-CN" w:bidi="ar"/>
        </w:rPr>
        <w:t>费包干总价</w:t>
      </w:r>
      <w:r>
        <w:rPr>
          <w:rFonts w:hint="eastAsia" w:ascii="宋体" w:hAnsi="宋体" w:eastAsia="宋体" w:cs="宋体"/>
          <w:kern w:val="0"/>
          <w:szCs w:val="21"/>
          <w:lang w:bidi="ar"/>
        </w:rPr>
        <w:t>包含工程前期准备阶段、施工阶段及保修阶段监理所发生的全部费用。本合同监理</w:t>
      </w:r>
      <w:r>
        <w:rPr>
          <w:rFonts w:hint="eastAsia" w:ascii="宋体" w:hAnsi="宋体" w:eastAsia="宋体" w:cs="宋体"/>
          <w:kern w:val="0"/>
          <w:szCs w:val="21"/>
          <w:lang w:val="en-US" w:eastAsia="zh-CN" w:bidi="ar"/>
        </w:rPr>
        <w:t>费</w:t>
      </w:r>
      <w:r>
        <w:rPr>
          <w:rFonts w:hint="eastAsia" w:ascii="宋体" w:hAnsi="宋体" w:eastAsia="宋体" w:cs="宋体"/>
          <w:kern w:val="0"/>
          <w:szCs w:val="21"/>
          <w:lang w:bidi="ar"/>
        </w:rPr>
        <w:t>为：人民币</w:t>
      </w:r>
      <w:r>
        <w:rPr>
          <w:rFonts w:hint="eastAsia" w:ascii="宋体" w:hAnsi="宋体" w:eastAsia="宋体" w:cs="宋体"/>
          <w:kern w:val="0"/>
          <w:szCs w:val="21"/>
          <w:u w:val="single"/>
          <w:lang w:bidi="ar"/>
        </w:rPr>
        <w:t>*****整（ ****** 元）</w:t>
      </w:r>
      <w:r>
        <w:rPr>
          <w:rFonts w:hint="eastAsia" w:ascii="宋体" w:hAnsi="宋体" w:eastAsia="宋体" w:cs="宋体"/>
          <w:kern w:val="0"/>
          <w:szCs w:val="21"/>
          <w:lang w:bidi="ar"/>
        </w:rPr>
        <w:t>。</w:t>
      </w:r>
    </w:p>
    <w:p w14:paraId="0D4954ED">
      <w:pPr>
        <w:pStyle w:val="43"/>
        <w:snapToGrid w:val="0"/>
        <w:spacing w:line="360" w:lineRule="auto"/>
        <w:ind w:firstLine="420" w:firstLineChars="200"/>
        <w:rPr>
          <w:rFonts w:hint="eastAsia" w:ascii="宋体" w:hAnsi="宋体" w:eastAsia="宋体" w:cs="宋体"/>
          <w:szCs w:val="21"/>
          <w:lang w:bidi="ar"/>
        </w:rPr>
      </w:pPr>
      <w:r>
        <w:rPr>
          <w:rFonts w:hint="eastAsia" w:ascii="宋体" w:hAnsi="宋体" w:eastAsia="宋体" w:cs="宋体"/>
          <w:szCs w:val="21"/>
          <w:lang w:bidi="ar"/>
        </w:rPr>
        <w:t>5.2.2监理服务</w:t>
      </w:r>
      <w:r>
        <w:rPr>
          <w:rFonts w:hint="eastAsia" w:ascii="宋体" w:hAnsi="宋体" w:eastAsia="宋体" w:cs="宋体"/>
          <w:szCs w:val="21"/>
          <w:lang w:val="en-US" w:eastAsia="zh-CN" w:bidi="ar"/>
        </w:rPr>
        <w:t>费</w:t>
      </w:r>
      <w:r>
        <w:rPr>
          <w:rFonts w:hint="eastAsia" w:ascii="宋体" w:hAnsi="宋体" w:eastAsia="宋体" w:cs="宋体"/>
          <w:szCs w:val="21"/>
          <w:lang w:bidi="ar"/>
        </w:rPr>
        <w:t>支付时间与金额：</w:t>
      </w:r>
    </w:p>
    <w:p w14:paraId="514BC2B1">
      <w:pPr>
        <w:pStyle w:val="43"/>
        <w:snapToGrid w:val="0"/>
        <w:spacing w:line="360" w:lineRule="auto"/>
        <w:ind w:firstLine="420" w:firstLineChars="200"/>
        <w:rPr>
          <w:rFonts w:hint="eastAsia" w:ascii="宋体" w:hAnsi="宋体" w:eastAsia="宋体" w:cs="宋体"/>
          <w:szCs w:val="21"/>
          <w:lang w:bidi="ar"/>
        </w:rPr>
      </w:pPr>
      <w:r>
        <w:rPr>
          <w:rFonts w:hint="eastAsia" w:ascii="宋体" w:hAnsi="宋体" w:eastAsia="宋体" w:cs="宋体"/>
          <w:szCs w:val="21"/>
          <w:lang w:bidi="ar"/>
        </w:rPr>
        <w:t>（1）本工程监理服务</w:t>
      </w:r>
      <w:r>
        <w:rPr>
          <w:rFonts w:hint="eastAsia" w:ascii="宋体" w:hAnsi="宋体" w:eastAsia="宋体" w:cs="宋体"/>
          <w:szCs w:val="21"/>
          <w:lang w:val="en-US" w:eastAsia="zh-CN" w:bidi="ar"/>
        </w:rPr>
        <w:t>费</w:t>
      </w:r>
      <w:r>
        <w:rPr>
          <w:rFonts w:hint="eastAsia" w:ascii="宋体" w:hAnsi="宋体" w:eastAsia="宋体" w:cs="宋体"/>
          <w:szCs w:val="21"/>
          <w:lang w:bidi="ar"/>
        </w:rPr>
        <w:t>预付款为：</w:t>
      </w:r>
      <w:r>
        <w:rPr>
          <w:rFonts w:hint="eastAsia" w:ascii="宋体" w:hAnsi="宋体" w:eastAsia="宋体" w:cs="宋体"/>
          <w:szCs w:val="21"/>
          <w:u w:val="single"/>
          <w:lang w:bidi="ar"/>
        </w:rPr>
        <w:t>无</w:t>
      </w:r>
      <w:r>
        <w:rPr>
          <w:rFonts w:hint="eastAsia" w:ascii="宋体" w:hAnsi="宋体" w:eastAsia="宋体" w:cs="宋体"/>
          <w:szCs w:val="21"/>
          <w:lang w:bidi="ar"/>
        </w:rPr>
        <w:t>。</w:t>
      </w:r>
    </w:p>
    <w:p w14:paraId="6278DBC9">
      <w:pPr>
        <w:pStyle w:val="43"/>
        <w:snapToGrid w:val="0"/>
        <w:spacing w:line="360" w:lineRule="auto"/>
        <w:ind w:firstLine="420" w:firstLineChars="200"/>
        <w:rPr>
          <w:rFonts w:hint="eastAsia" w:ascii="宋体" w:hAnsi="宋体" w:eastAsia="宋体" w:cs="宋体"/>
          <w:szCs w:val="21"/>
          <w:lang w:bidi="ar"/>
        </w:rPr>
      </w:pPr>
      <w:r>
        <w:rPr>
          <w:rFonts w:hint="eastAsia" w:ascii="宋体" w:hAnsi="宋体" w:eastAsia="宋体" w:cs="宋体"/>
          <w:szCs w:val="21"/>
          <w:lang w:bidi="ar"/>
        </w:rPr>
        <w:t>（2）监理合同已签订且监理人员全部进场并正常开展监理业务后，每次支付监理服务</w:t>
      </w:r>
      <w:r>
        <w:rPr>
          <w:rFonts w:hint="eastAsia" w:ascii="宋体" w:hAnsi="宋体" w:eastAsia="宋体" w:cs="宋体"/>
          <w:szCs w:val="21"/>
          <w:lang w:val="en-US" w:eastAsia="zh-CN" w:bidi="ar"/>
        </w:rPr>
        <w:t>费</w:t>
      </w:r>
      <w:r>
        <w:rPr>
          <w:rFonts w:hint="eastAsia" w:ascii="宋体" w:hAnsi="宋体" w:eastAsia="宋体" w:cs="宋体"/>
          <w:szCs w:val="21"/>
          <w:lang w:bidi="ar"/>
        </w:rPr>
        <w:t>前，监理人必须提前45天向委托人提供合法有效的增值税专用等额发票及请款函；监理人逾期提交月报或不按委托人要求作出补充说明的，委托人有权相应顺延支付当月监理服务</w:t>
      </w:r>
      <w:r>
        <w:rPr>
          <w:rFonts w:hint="eastAsia" w:ascii="宋体" w:hAnsi="宋体" w:eastAsia="宋体" w:cs="宋体"/>
          <w:szCs w:val="21"/>
          <w:lang w:val="en-US" w:eastAsia="zh-CN" w:bidi="ar"/>
        </w:rPr>
        <w:t>费</w:t>
      </w:r>
      <w:r>
        <w:rPr>
          <w:rFonts w:hint="eastAsia" w:ascii="宋体" w:hAnsi="宋体" w:eastAsia="宋体" w:cs="宋体"/>
          <w:szCs w:val="21"/>
          <w:lang w:bidi="ar"/>
        </w:rPr>
        <w:t>本金。</w:t>
      </w:r>
    </w:p>
    <w:p w14:paraId="5194A5E7">
      <w:pPr>
        <w:pStyle w:val="43"/>
        <w:snapToGrid w:val="0"/>
        <w:spacing w:line="360" w:lineRule="auto"/>
        <w:ind w:firstLine="420" w:firstLineChars="200"/>
        <w:rPr>
          <w:rFonts w:hint="eastAsia" w:ascii="宋体" w:hAnsi="宋体" w:eastAsia="宋体" w:cs="宋体"/>
          <w:szCs w:val="21"/>
          <w:lang w:bidi="ar"/>
        </w:rPr>
      </w:pPr>
      <w:r>
        <w:rPr>
          <w:rFonts w:hint="eastAsia" w:ascii="宋体" w:hAnsi="宋体" w:eastAsia="宋体" w:cs="宋体"/>
          <w:szCs w:val="21"/>
          <w:lang w:bidi="ar"/>
        </w:rPr>
        <w:t>月监理</w:t>
      </w:r>
      <w:r>
        <w:rPr>
          <w:rFonts w:hint="eastAsia" w:ascii="宋体" w:hAnsi="宋体" w:eastAsia="宋体" w:cs="宋体"/>
          <w:szCs w:val="21"/>
          <w:lang w:val="en-US" w:eastAsia="zh-CN" w:bidi="ar"/>
        </w:rPr>
        <w:t>费</w:t>
      </w:r>
      <w:r>
        <w:rPr>
          <w:rFonts w:hint="eastAsia" w:ascii="宋体" w:hAnsi="宋体" w:eastAsia="宋体" w:cs="宋体"/>
          <w:szCs w:val="21"/>
          <w:lang w:bidi="ar"/>
        </w:rPr>
        <w:t>＝经甲方审核确认的上月施工工程进度款/施工合同价×合同</w:t>
      </w:r>
      <w:r>
        <w:rPr>
          <w:rFonts w:hint="eastAsia" w:ascii="宋体" w:hAnsi="宋体" w:eastAsia="宋体" w:cs="宋体"/>
          <w:kern w:val="0"/>
          <w:szCs w:val="21"/>
          <w:lang w:bidi="ar"/>
        </w:rPr>
        <w:t>监理</w:t>
      </w:r>
      <w:r>
        <w:rPr>
          <w:rFonts w:hint="eastAsia" w:ascii="宋体" w:hAnsi="宋体" w:eastAsia="宋体" w:cs="宋体"/>
          <w:kern w:val="0"/>
          <w:szCs w:val="21"/>
          <w:lang w:val="en-US" w:eastAsia="zh-CN" w:bidi="ar"/>
        </w:rPr>
        <w:t>费</w:t>
      </w:r>
      <w:r>
        <w:rPr>
          <w:rFonts w:hint="eastAsia" w:ascii="宋体" w:hAnsi="宋体" w:eastAsia="宋体" w:cs="宋体"/>
          <w:szCs w:val="21"/>
          <w:lang w:bidi="ar"/>
        </w:rPr>
        <w:t>×80%。</w:t>
      </w:r>
    </w:p>
    <w:p w14:paraId="4EAD80BC">
      <w:pPr>
        <w:pStyle w:val="43"/>
        <w:snapToGrid w:val="0"/>
        <w:spacing w:line="360" w:lineRule="auto"/>
        <w:ind w:firstLine="420" w:firstLineChars="200"/>
        <w:rPr>
          <w:rFonts w:hint="eastAsia" w:ascii="宋体" w:hAnsi="宋体" w:eastAsia="宋体" w:cs="宋体"/>
          <w:szCs w:val="21"/>
          <w:lang w:bidi="ar"/>
        </w:rPr>
      </w:pPr>
      <w:r>
        <w:rPr>
          <w:rFonts w:hint="eastAsia" w:ascii="宋体" w:hAnsi="宋体" w:eastAsia="宋体" w:cs="宋体"/>
          <w:szCs w:val="21"/>
          <w:lang w:bidi="ar"/>
        </w:rPr>
        <w:t>（3）在工程通过竣工验收之日起30日内，累计支付至合同</w:t>
      </w:r>
      <w:r>
        <w:rPr>
          <w:rFonts w:hint="eastAsia" w:ascii="宋体" w:hAnsi="宋体" w:eastAsia="宋体" w:cs="宋体"/>
          <w:kern w:val="2"/>
          <w:szCs w:val="21"/>
          <w:lang w:bidi="ar"/>
        </w:rPr>
        <w:t>监理</w:t>
      </w:r>
      <w:r>
        <w:rPr>
          <w:rFonts w:hint="eastAsia" w:ascii="宋体" w:hAnsi="宋体" w:eastAsia="宋体" w:cs="宋体"/>
          <w:kern w:val="2"/>
          <w:szCs w:val="21"/>
          <w:lang w:val="en-US" w:eastAsia="zh-CN" w:bidi="ar"/>
        </w:rPr>
        <w:t>费的</w:t>
      </w:r>
      <w:r>
        <w:rPr>
          <w:rFonts w:hint="eastAsia" w:ascii="宋体" w:hAnsi="宋体" w:eastAsia="宋体" w:cs="宋体"/>
          <w:szCs w:val="21"/>
          <w:lang w:bidi="ar"/>
        </w:rPr>
        <w:t>90%，完成施工结算审定且保修期结算结束之日起,30日内，监理人向委托人提交监理服务</w:t>
      </w:r>
      <w:r>
        <w:rPr>
          <w:rFonts w:hint="eastAsia" w:ascii="宋体" w:hAnsi="宋体" w:eastAsia="宋体" w:cs="宋体"/>
          <w:szCs w:val="21"/>
          <w:lang w:val="en-US" w:eastAsia="zh-CN" w:bidi="ar"/>
        </w:rPr>
        <w:t>费</w:t>
      </w:r>
      <w:r>
        <w:rPr>
          <w:rFonts w:hint="eastAsia" w:ascii="宋体" w:hAnsi="宋体" w:eastAsia="宋体" w:cs="宋体"/>
          <w:szCs w:val="21"/>
          <w:lang w:bidi="ar"/>
        </w:rPr>
        <w:t>余款，委托人在收到监理</w:t>
      </w:r>
      <w:r>
        <w:rPr>
          <w:rFonts w:hint="eastAsia" w:ascii="宋体" w:hAnsi="宋体" w:eastAsia="宋体" w:cs="宋体"/>
          <w:szCs w:val="21"/>
          <w:lang w:val="en-US" w:eastAsia="zh-CN" w:bidi="ar"/>
        </w:rPr>
        <w:t>费</w:t>
      </w:r>
      <w:r>
        <w:rPr>
          <w:rFonts w:hint="eastAsia" w:ascii="宋体" w:hAnsi="宋体" w:eastAsia="宋体" w:cs="宋体"/>
          <w:szCs w:val="21"/>
          <w:lang w:bidi="ar"/>
        </w:rPr>
        <w:t>余款之日起45日内核准并支付，累计支付至合同监理服务</w:t>
      </w:r>
      <w:r>
        <w:rPr>
          <w:rFonts w:hint="eastAsia" w:ascii="宋体" w:hAnsi="宋体" w:eastAsia="宋体" w:cs="宋体"/>
          <w:szCs w:val="21"/>
          <w:lang w:val="en-US" w:eastAsia="zh-CN" w:bidi="ar"/>
        </w:rPr>
        <w:t>费</w:t>
      </w:r>
      <w:r>
        <w:rPr>
          <w:rFonts w:hint="eastAsia" w:ascii="宋体" w:hAnsi="宋体" w:eastAsia="宋体" w:cs="宋体"/>
          <w:szCs w:val="21"/>
          <w:lang w:bidi="ar"/>
        </w:rPr>
        <w:t>总额的100%；并向监理人退回履约保证金（无息）。 未经委托人书面同意，监理人不得要求支付附加工作酬金、合理化建议奖励金额及费用。</w:t>
      </w:r>
    </w:p>
    <w:p w14:paraId="713082C3">
      <w:pPr>
        <w:pStyle w:val="43"/>
        <w:snapToGrid w:val="0"/>
        <w:spacing w:line="360" w:lineRule="auto"/>
        <w:ind w:firstLine="420" w:firstLineChars="200"/>
        <w:rPr>
          <w:rFonts w:hint="eastAsia" w:ascii="宋体" w:hAnsi="宋体" w:eastAsia="宋体" w:cs="宋体"/>
          <w:szCs w:val="21"/>
          <w:lang w:bidi="ar"/>
        </w:rPr>
      </w:pPr>
      <w:r>
        <w:rPr>
          <w:rFonts w:hint="eastAsia" w:ascii="宋体" w:hAnsi="宋体" w:eastAsia="宋体" w:cs="宋体"/>
          <w:szCs w:val="21"/>
          <w:lang w:bidi="ar"/>
        </w:rPr>
        <w:t>（4）本合同所述的总监理工程师、专业监理工程师的考勤记录以其到发包人指定考勤机器进行指纹刷卡和面部识别登记为准，每月考勤记录作为申请进度款凭证之一。</w:t>
      </w:r>
    </w:p>
    <w:p w14:paraId="6D156434">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5.2.3 延期费用的支付：</w:t>
      </w:r>
    </w:p>
    <w:p w14:paraId="68B21859">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 xml:space="preserve">监理人在投标报价时已经充分考虑本项目可能存在实际工期有可能超出施工承包合同约定的工期、竣工验收迟延等原因导致监理人的监理期限相应延长，监理人对此已做合理安排，故监理人承诺不能以此向委托人申请增加费用或赔偿损失。 </w:t>
      </w:r>
    </w:p>
    <w:p w14:paraId="135CF91C">
      <w:pPr>
        <w:pStyle w:val="43"/>
        <w:snapToGrid w:val="0"/>
        <w:spacing w:line="360" w:lineRule="auto"/>
        <w:ind w:firstLine="420" w:firstLineChars="200"/>
        <w:rPr>
          <w:b/>
          <w:szCs w:val="21"/>
        </w:rPr>
      </w:pPr>
      <w:r>
        <w:rPr>
          <w:bCs/>
          <w:szCs w:val="21"/>
          <w:lang w:bidi="ar"/>
        </w:rPr>
        <w:t>6</w:t>
      </w:r>
      <w:r>
        <w:rPr>
          <w:b/>
          <w:bCs/>
          <w:szCs w:val="21"/>
          <w:lang w:bidi="ar"/>
        </w:rPr>
        <w:t xml:space="preserve">. </w:t>
      </w:r>
      <w:r>
        <w:rPr>
          <w:rFonts w:hint="eastAsia" w:ascii="宋体" w:hAnsi="宋体" w:cs="宋体"/>
          <w:b/>
          <w:szCs w:val="21"/>
          <w:lang w:bidi="ar"/>
        </w:rPr>
        <w:t>合同生效、变更、暂停、解除与终止</w:t>
      </w:r>
    </w:p>
    <w:p w14:paraId="70CD546D">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6.1 生效</w:t>
      </w:r>
    </w:p>
    <w:p w14:paraId="102CCEB7">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本合同生效条件：</w:t>
      </w:r>
      <w:r>
        <w:rPr>
          <w:rFonts w:hint="eastAsia" w:ascii="宋体" w:hAnsi="宋体" w:eastAsia="宋体" w:cs="宋体"/>
          <w:szCs w:val="21"/>
          <w:u w:val="single"/>
          <w:lang w:bidi="ar"/>
        </w:rPr>
        <w:t>双方法定代表人或委托代理人签字并加盖公章或合同专用章之日起生效</w:t>
      </w:r>
      <w:r>
        <w:rPr>
          <w:rFonts w:hint="eastAsia" w:ascii="宋体" w:hAnsi="宋体" w:eastAsia="宋体" w:cs="宋体"/>
          <w:szCs w:val="21"/>
          <w:lang w:bidi="ar"/>
        </w:rPr>
        <w:t>。</w:t>
      </w:r>
    </w:p>
    <w:p w14:paraId="2202F25D">
      <w:pPr>
        <w:pStyle w:val="43"/>
        <w:snapToGrid w:val="0"/>
        <w:spacing w:line="360" w:lineRule="auto"/>
        <w:ind w:firstLine="420" w:firstLineChars="200"/>
        <w:rPr>
          <w:rFonts w:hint="eastAsia" w:ascii="宋体" w:hAnsi="宋体" w:eastAsia="宋体" w:cs="宋体"/>
          <w:bCs/>
          <w:szCs w:val="21"/>
        </w:rPr>
      </w:pPr>
      <w:r>
        <w:rPr>
          <w:rFonts w:hint="eastAsia" w:ascii="宋体" w:hAnsi="宋体" w:eastAsia="宋体" w:cs="宋体"/>
          <w:szCs w:val="21"/>
          <w:lang w:bidi="ar"/>
        </w:rPr>
        <w:t>6.2</w:t>
      </w:r>
      <w:r>
        <w:rPr>
          <w:rFonts w:hint="eastAsia" w:ascii="宋体" w:hAnsi="宋体" w:eastAsia="宋体" w:cs="宋体"/>
          <w:bCs/>
          <w:szCs w:val="21"/>
          <w:lang w:bidi="ar"/>
        </w:rPr>
        <w:t>变更</w:t>
      </w:r>
    </w:p>
    <w:p w14:paraId="66188FE2">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6.2.1 任何一方提出变更请求时，双方经协商一致后可进行变更。</w:t>
      </w:r>
    </w:p>
    <w:p w14:paraId="5754B07C">
      <w:pPr>
        <w:pStyle w:val="43"/>
        <w:adjustRightInd w:val="0"/>
        <w:snapToGrid w:val="0"/>
        <w:spacing w:line="360" w:lineRule="auto"/>
        <w:ind w:firstLine="420" w:firstLineChars="200"/>
        <w:rPr>
          <w:rFonts w:hint="eastAsia" w:ascii="宋体" w:hAnsi="宋体" w:eastAsia="宋体" w:cs="宋体"/>
          <w:szCs w:val="21"/>
          <w:u w:val="single"/>
        </w:rPr>
      </w:pPr>
      <w:r>
        <w:rPr>
          <w:rFonts w:hint="eastAsia" w:ascii="宋体" w:hAnsi="宋体" w:eastAsia="宋体" w:cs="宋体"/>
          <w:szCs w:val="21"/>
          <w:lang w:bidi="ar"/>
        </w:rPr>
        <w:t>6.2.2 不管任何原因导致监理人履行合同期限延长的监理费用不增加，施工内容增加时，监理人应当将此情况与可能产生的影响及时通知委托人。增加的工作内容应视为附加工作。附加工作酬金的确定方法另行协商。</w:t>
      </w:r>
    </w:p>
    <w:p w14:paraId="670367A7">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6.3 暂停与解除</w:t>
      </w:r>
    </w:p>
    <w:p w14:paraId="08AC4D02">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 xml:space="preserve">  6.3.2 无正当理由，暂停部分监理与相关服务时间及暂停全部工作时间超过15天的，监理人应当自行妥善安排相关人员，且监理人承诺不得以此为由要求单方自行解除合同或向委托人进行索赔。</w:t>
      </w:r>
    </w:p>
    <w:p w14:paraId="55130950">
      <w:pPr>
        <w:pStyle w:val="43"/>
        <w:snapToGrid w:val="0"/>
        <w:spacing w:line="360" w:lineRule="auto"/>
        <w:ind w:firstLine="422" w:firstLineChars="200"/>
        <w:rPr>
          <w:b/>
          <w:szCs w:val="21"/>
        </w:rPr>
      </w:pPr>
      <w:r>
        <w:rPr>
          <w:b/>
          <w:szCs w:val="21"/>
          <w:lang w:bidi="ar"/>
        </w:rPr>
        <w:t xml:space="preserve">7. </w:t>
      </w:r>
      <w:r>
        <w:rPr>
          <w:rFonts w:hint="eastAsia" w:ascii="宋体" w:hAnsi="宋体" w:cs="宋体"/>
          <w:b/>
          <w:szCs w:val="21"/>
          <w:lang w:bidi="ar"/>
        </w:rPr>
        <w:t>争议解决</w:t>
      </w:r>
    </w:p>
    <w:p w14:paraId="565915C2">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 xml:space="preserve">7.1 </w:t>
      </w:r>
      <w:r>
        <w:rPr>
          <w:rFonts w:hint="eastAsia" w:ascii="宋体" w:hAnsi="宋体" w:eastAsia="宋体" w:cs="宋体"/>
          <w:bCs/>
          <w:szCs w:val="21"/>
          <w:lang w:bidi="ar"/>
        </w:rPr>
        <w:t>调解</w:t>
      </w:r>
    </w:p>
    <w:p w14:paraId="32A48932">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本合同争议进行调解时，可提交</w:t>
      </w:r>
      <w:r>
        <w:rPr>
          <w:rFonts w:hint="eastAsia" w:ascii="宋体" w:hAnsi="宋体" w:eastAsia="宋体" w:cs="宋体"/>
          <w:szCs w:val="21"/>
          <w:u w:val="single"/>
          <w:lang w:bidi="ar"/>
        </w:rPr>
        <w:t>工程所在地建设行政主管部门</w:t>
      </w:r>
      <w:r>
        <w:rPr>
          <w:rFonts w:hint="eastAsia" w:ascii="宋体" w:hAnsi="宋体" w:eastAsia="宋体" w:cs="宋体"/>
          <w:szCs w:val="21"/>
          <w:lang w:bidi="ar"/>
        </w:rPr>
        <w:t>进行调解。</w:t>
      </w:r>
    </w:p>
    <w:p w14:paraId="6D301535">
      <w:pPr>
        <w:pStyle w:val="43"/>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 xml:space="preserve">7.2 </w:t>
      </w:r>
      <w:r>
        <w:rPr>
          <w:rFonts w:hint="eastAsia" w:ascii="宋体" w:hAnsi="宋体" w:eastAsia="宋体" w:cs="宋体"/>
          <w:bCs/>
          <w:szCs w:val="21"/>
          <w:lang w:bidi="ar"/>
        </w:rPr>
        <w:t>仲裁或诉讼</w:t>
      </w:r>
    </w:p>
    <w:p w14:paraId="68AA8E7C">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合同争议的最终解决方式为下列第</w:t>
      </w:r>
      <w:r>
        <w:rPr>
          <w:rFonts w:hint="eastAsia" w:ascii="宋体" w:hAnsi="宋体" w:eastAsia="宋体" w:cs="宋体"/>
          <w:szCs w:val="21"/>
          <w:u w:val="single"/>
          <w:lang w:bidi="ar"/>
        </w:rPr>
        <w:t>（2）</w:t>
      </w:r>
      <w:r>
        <w:rPr>
          <w:rFonts w:hint="eastAsia" w:ascii="宋体" w:hAnsi="宋体" w:eastAsia="宋体" w:cs="宋体"/>
          <w:szCs w:val="21"/>
          <w:lang w:bidi="ar"/>
        </w:rPr>
        <w:t>种方式：</w:t>
      </w:r>
    </w:p>
    <w:p w14:paraId="72290B07">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（1）提请</w:t>
      </w:r>
      <w:r>
        <w:rPr>
          <w:rFonts w:hint="eastAsia" w:ascii="宋体" w:hAnsi="宋体" w:eastAsia="宋体" w:cs="宋体"/>
          <w:szCs w:val="21"/>
          <w:u w:val="single"/>
          <w:lang w:bidi="ar"/>
        </w:rPr>
        <w:t>钦州仲裁委员会</w:t>
      </w:r>
      <w:r>
        <w:rPr>
          <w:rFonts w:hint="eastAsia" w:ascii="宋体" w:hAnsi="宋体" w:eastAsia="宋体" w:cs="宋体"/>
          <w:szCs w:val="21"/>
          <w:lang w:bidi="ar"/>
        </w:rPr>
        <w:t>进行仲裁。</w:t>
      </w:r>
    </w:p>
    <w:p w14:paraId="2B98FF89">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（2）向</w:t>
      </w:r>
      <w:r>
        <w:rPr>
          <w:rFonts w:hint="eastAsia" w:ascii="宋体" w:hAnsi="宋体" w:eastAsia="宋体" w:cs="宋体"/>
          <w:szCs w:val="21"/>
          <w:u w:val="single"/>
          <w:lang w:val="en-US" w:eastAsia="zh-CN" w:bidi="ar"/>
        </w:rPr>
        <w:t>委托人</w:t>
      </w:r>
      <w:r>
        <w:rPr>
          <w:rFonts w:hint="eastAsia" w:ascii="宋体" w:hAnsi="宋体" w:eastAsia="宋体" w:cs="宋体"/>
          <w:szCs w:val="21"/>
          <w:u w:val="single"/>
          <w:lang w:bidi="ar"/>
        </w:rPr>
        <w:t>住所地</w:t>
      </w:r>
      <w:r>
        <w:rPr>
          <w:rFonts w:hint="eastAsia" w:ascii="宋体" w:hAnsi="宋体" w:eastAsia="宋体" w:cs="宋体"/>
          <w:szCs w:val="21"/>
          <w:lang w:bidi="ar"/>
        </w:rPr>
        <w:t>人民法院提起诉讼。</w:t>
      </w:r>
    </w:p>
    <w:p w14:paraId="278FE524">
      <w:pPr>
        <w:pStyle w:val="43"/>
        <w:adjustRightInd w:val="0"/>
        <w:snapToGrid w:val="0"/>
        <w:spacing w:line="360" w:lineRule="auto"/>
        <w:ind w:firstLine="422" w:firstLineChars="200"/>
        <w:rPr>
          <w:b/>
          <w:szCs w:val="21"/>
        </w:rPr>
      </w:pPr>
      <w:r>
        <w:rPr>
          <w:b/>
          <w:szCs w:val="21"/>
          <w:lang w:bidi="ar"/>
        </w:rPr>
        <w:t xml:space="preserve">8. </w:t>
      </w:r>
      <w:r>
        <w:rPr>
          <w:rFonts w:hint="eastAsia" w:ascii="宋体" w:hAnsi="宋体" w:cs="宋体"/>
          <w:b/>
          <w:szCs w:val="21"/>
          <w:lang w:bidi="ar"/>
        </w:rPr>
        <w:t>其他</w:t>
      </w:r>
    </w:p>
    <w:p w14:paraId="56565CA9">
      <w:pPr>
        <w:pStyle w:val="43"/>
        <w:adjustRightInd w:val="0"/>
        <w:snapToGrid w:val="0"/>
        <w:spacing w:line="360" w:lineRule="auto"/>
        <w:ind w:firstLine="420" w:firstLineChars="200"/>
        <w:rPr>
          <w:rFonts w:hint="eastAsia" w:ascii="宋体" w:hAnsi="宋体" w:eastAsia="宋体" w:cs="宋体"/>
          <w:bCs/>
          <w:szCs w:val="21"/>
        </w:rPr>
      </w:pPr>
      <w:r>
        <w:rPr>
          <w:rFonts w:hint="eastAsia" w:ascii="宋体" w:hAnsi="宋体" w:eastAsia="宋体" w:cs="宋体"/>
          <w:bCs/>
          <w:szCs w:val="21"/>
          <w:lang w:bidi="ar"/>
        </w:rPr>
        <w:t>8.1监理人外出考察的费用由监理人自行承担。</w:t>
      </w:r>
    </w:p>
    <w:p w14:paraId="4A2D9D48">
      <w:pPr>
        <w:pStyle w:val="43"/>
        <w:adjustRightInd w:val="0"/>
        <w:snapToGrid w:val="0"/>
        <w:spacing w:line="360" w:lineRule="auto"/>
        <w:ind w:firstLine="420" w:firstLineChars="200"/>
        <w:rPr>
          <w:rFonts w:hint="eastAsia" w:ascii="宋体" w:hAnsi="宋体" w:eastAsia="宋体" w:cs="宋体"/>
          <w:bCs/>
          <w:szCs w:val="21"/>
        </w:rPr>
      </w:pPr>
      <w:r>
        <w:rPr>
          <w:rFonts w:hint="eastAsia" w:ascii="宋体" w:hAnsi="宋体" w:eastAsia="宋体" w:cs="宋体"/>
          <w:bCs/>
          <w:szCs w:val="21"/>
          <w:lang w:bidi="ar"/>
        </w:rPr>
        <w:t xml:space="preserve">8.6 保密 </w:t>
      </w:r>
    </w:p>
    <w:p w14:paraId="52F79D7C">
      <w:pPr>
        <w:pStyle w:val="43"/>
        <w:adjustRightInd w:val="0"/>
        <w:snapToGrid w:val="0"/>
        <w:spacing w:line="360" w:lineRule="auto"/>
        <w:ind w:firstLine="420" w:firstLineChars="200"/>
        <w:jc w:val="left"/>
        <w:rPr>
          <w:rFonts w:hint="eastAsia" w:ascii="宋体" w:hAnsi="宋体" w:eastAsia="宋体" w:cs="宋体"/>
          <w:szCs w:val="21"/>
          <w:u w:val="single"/>
        </w:rPr>
      </w:pPr>
      <w:r>
        <w:rPr>
          <w:rFonts w:hint="eastAsia" w:ascii="宋体" w:hAnsi="宋体" w:eastAsia="宋体" w:cs="宋体"/>
          <w:szCs w:val="21"/>
          <w:lang w:bidi="ar"/>
        </w:rPr>
        <w:t>委托人申明的保密事项和期限：</w:t>
      </w:r>
      <w:r>
        <w:rPr>
          <w:rFonts w:hint="eastAsia" w:ascii="宋体" w:hAnsi="宋体" w:eastAsia="宋体" w:cs="宋体"/>
          <w:szCs w:val="21"/>
          <w:u w:val="single"/>
          <w:lang w:bidi="ar"/>
        </w:rPr>
        <w:t>执行通用条款</w:t>
      </w:r>
      <w:r>
        <w:rPr>
          <w:rFonts w:hint="eastAsia" w:ascii="宋体" w:hAnsi="宋体" w:eastAsia="宋体" w:cs="宋体"/>
          <w:szCs w:val="21"/>
          <w:lang w:bidi="ar"/>
        </w:rPr>
        <w:t>。</w:t>
      </w:r>
    </w:p>
    <w:p w14:paraId="00617F15">
      <w:pPr>
        <w:pStyle w:val="43"/>
        <w:adjustRightInd w:val="0"/>
        <w:snapToGrid w:val="0"/>
        <w:spacing w:line="360" w:lineRule="auto"/>
        <w:ind w:firstLine="420" w:firstLineChars="200"/>
        <w:jc w:val="left"/>
        <w:rPr>
          <w:rFonts w:hint="eastAsia" w:ascii="宋体" w:hAnsi="宋体" w:eastAsia="宋体" w:cs="宋体"/>
          <w:szCs w:val="21"/>
          <w:u w:val="single"/>
        </w:rPr>
      </w:pPr>
      <w:r>
        <w:rPr>
          <w:rFonts w:hint="eastAsia" w:ascii="宋体" w:hAnsi="宋体" w:eastAsia="宋体" w:cs="宋体"/>
          <w:szCs w:val="21"/>
          <w:lang w:bidi="ar"/>
        </w:rPr>
        <w:t>监理人申明的保密事项和期限：</w:t>
      </w:r>
      <w:r>
        <w:rPr>
          <w:rFonts w:hint="eastAsia" w:ascii="宋体" w:hAnsi="宋体" w:eastAsia="宋体" w:cs="宋体"/>
          <w:szCs w:val="21"/>
          <w:u w:val="single"/>
          <w:lang w:bidi="ar"/>
        </w:rPr>
        <w:t>执行通用条款</w:t>
      </w:r>
      <w:r>
        <w:rPr>
          <w:rFonts w:hint="eastAsia" w:ascii="宋体" w:hAnsi="宋体" w:eastAsia="宋体" w:cs="宋体"/>
          <w:szCs w:val="21"/>
          <w:lang w:bidi="ar"/>
        </w:rPr>
        <w:t>。</w:t>
      </w:r>
    </w:p>
    <w:p w14:paraId="375504B9">
      <w:pPr>
        <w:pStyle w:val="43"/>
        <w:adjustRightInd w:val="0"/>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lang w:bidi="ar"/>
        </w:rPr>
        <w:t>第三方申明的保密事项和期限：</w:t>
      </w:r>
      <w:r>
        <w:rPr>
          <w:rFonts w:hint="eastAsia" w:ascii="宋体" w:hAnsi="宋体" w:eastAsia="宋体" w:cs="宋体"/>
          <w:szCs w:val="21"/>
          <w:u w:val="single"/>
          <w:lang w:bidi="ar"/>
        </w:rPr>
        <w:t>按具体申明情况定</w:t>
      </w:r>
      <w:r>
        <w:rPr>
          <w:rFonts w:hint="eastAsia" w:ascii="宋体" w:hAnsi="宋体" w:eastAsia="宋体" w:cs="宋体"/>
          <w:szCs w:val="21"/>
          <w:lang w:bidi="ar"/>
        </w:rPr>
        <w:t>。</w:t>
      </w:r>
    </w:p>
    <w:p w14:paraId="08D27C39">
      <w:pPr>
        <w:pStyle w:val="43"/>
        <w:adjustRightInd w:val="0"/>
        <w:snapToGrid w:val="0"/>
        <w:spacing w:line="360" w:lineRule="auto"/>
        <w:ind w:firstLine="420" w:firstLineChars="200"/>
        <w:rPr>
          <w:rFonts w:hint="eastAsia" w:ascii="宋体" w:hAnsi="宋体" w:eastAsia="宋体" w:cs="宋体"/>
          <w:bCs/>
          <w:szCs w:val="21"/>
        </w:rPr>
      </w:pPr>
      <w:r>
        <w:rPr>
          <w:rFonts w:hint="eastAsia" w:ascii="宋体" w:hAnsi="宋体" w:eastAsia="宋体" w:cs="宋体"/>
          <w:bCs/>
          <w:szCs w:val="21"/>
          <w:lang w:bidi="ar"/>
        </w:rPr>
        <w:t xml:space="preserve">8.7 </w:t>
      </w:r>
      <w:r>
        <w:rPr>
          <w:rFonts w:hint="eastAsia" w:ascii="宋体" w:hAnsi="宋体" w:eastAsia="宋体" w:cs="宋体"/>
          <w:color w:val="1D1D1F"/>
          <w:shd w:val="clear" w:color="auto" w:fill="FFFFFF"/>
        </w:rPr>
        <w:t>通知与送达 （1）双方确认本合同首部载明的地址、联系人、电话、电子邮箱为有效送达地址。一方变更送达地址的，应提前3日书面通知对方，否则对方按原地址发出的通知仍视为有效送达。 （2）通知的送达方式包括：专人递送、邮政特快专递（EMS）、电子邮件、双方认可的其他电子方式。采用专人递送的，签收之日为送达之日；采用邮政特快专递的，交邮后第3日视为送达之日；采用电子邮件的，发送成功之时视为送达之日，但发送方应保留发送记录及对方确认回执。 （3）因送达地址不准确、地址变更未及时通知、拒收等原因导致通知未能实际接收的，邮寄送达的，通知退回之日视为送达之日；电子送达的，发送成功之时视为送达之日。由此产生的法律后果由地址提供方承担。</w:t>
      </w:r>
    </w:p>
    <w:p w14:paraId="5B7C2E9D">
      <w:pPr>
        <w:pStyle w:val="43"/>
        <w:adjustRightInd w:val="0"/>
        <w:snapToGrid w:val="0"/>
        <w:spacing w:line="360" w:lineRule="auto"/>
        <w:ind w:firstLine="420" w:firstLineChars="200"/>
        <w:rPr>
          <w:rFonts w:hint="eastAsia" w:ascii="宋体" w:hAnsi="宋体" w:eastAsia="宋体" w:cs="宋体"/>
          <w:bCs/>
          <w:szCs w:val="21"/>
        </w:rPr>
      </w:pPr>
      <w:r>
        <w:rPr>
          <w:rFonts w:hint="eastAsia" w:ascii="宋体" w:hAnsi="宋体" w:eastAsia="宋体" w:cs="宋体"/>
          <w:bCs/>
          <w:szCs w:val="21"/>
          <w:lang w:bidi="ar"/>
        </w:rPr>
        <w:t>8.8著作权</w:t>
      </w:r>
    </w:p>
    <w:p w14:paraId="4615282F">
      <w:pPr>
        <w:pStyle w:val="43"/>
        <w:adjustRightInd w:val="0"/>
        <w:snapToGrid w:val="0"/>
        <w:spacing w:line="360" w:lineRule="auto"/>
        <w:ind w:firstLine="420" w:firstLineChars="200"/>
        <w:rPr>
          <w:rFonts w:hint="eastAsia" w:ascii="宋体" w:hAnsi="宋体" w:eastAsia="宋体" w:cs="宋体"/>
          <w:color w:val="1D1D1F"/>
          <w:szCs w:val="22"/>
          <w:shd w:val="clear" w:color="auto" w:fill="FFFFFF"/>
        </w:rPr>
      </w:pPr>
      <w:r>
        <w:rPr>
          <w:rFonts w:hint="eastAsia" w:ascii="宋体" w:hAnsi="宋体" w:eastAsia="宋体" w:cs="宋体"/>
          <w:color w:val="1D1D1F"/>
          <w:szCs w:val="22"/>
          <w:shd w:val="clear" w:color="auto" w:fill="FFFFFF"/>
          <w:lang w:bidi="ar"/>
        </w:rPr>
        <w:t>监理人在本合同履行期间及本合同终止后两年内出版涉及本工程的有关监理与相关服务的资料的限制条件：监理人对其编制的文件拥有署名权，其他著作权的权利属于委托人。</w:t>
      </w:r>
    </w:p>
    <w:p w14:paraId="34B3632C">
      <w:pPr>
        <w:pStyle w:val="43"/>
        <w:snapToGrid w:val="0"/>
        <w:spacing w:line="360" w:lineRule="auto"/>
        <w:ind w:firstLine="420" w:firstLineChars="200"/>
        <w:rPr>
          <w:rFonts w:hint="eastAsia" w:ascii="宋体" w:hAnsi="宋体" w:eastAsia="宋体" w:cs="宋体"/>
          <w:color w:val="1D1D1F"/>
          <w:szCs w:val="22"/>
          <w:shd w:val="clear" w:color="auto" w:fill="FFFFFF"/>
        </w:rPr>
      </w:pPr>
      <w:r>
        <w:rPr>
          <w:rFonts w:hint="eastAsia" w:ascii="宋体" w:hAnsi="宋体" w:eastAsia="宋体" w:cs="宋体"/>
          <w:color w:val="1D1D1F"/>
          <w:szCs w:val="22"/>
          <w:shd w:val="clear" w:color="auto" w:fill="FFFFFF"/>
          <w:lang w:bidi="ar"/>
        </w:rPr>
        <w:t>监理人不可单独或与他人联合出版有关监理与相关服务的资料。除专用条件另有约定外，如果监理人在本合同履行期间及本合同终止后出版涉及本工程的有关监理与相关服务的资料，应当征得委托人的同意。</w:t>
      </w:r>
    </w:p>
    <w:p w14:paraId="60F06F7E">
      <w:pPr>
        <w:pStyle w:val="43"/>
        <w:snapToGrid w:val="0"/>
        <w:spacing w:line="360" w:lineRule="auto"/>
        <w:ind w:firstLine="422" w:firstLineChars="200"/>
        <w:rPr>
          <w:rFonts w:ascii="Times New Roman" w:hAnsi="Times New Roman" w:cs="Times New Roman"/>
          <w:b/>
          <w:szCs w:val="21"/>
          <w:u w:val="none"/>
          <w:lang w:bidi="ar"/>
        </w:rPr>
      </w:pPr>
      <w:r>
        <w:rPr>
          <w:rFonts w:ascii="Times New Roman" w:hAnsi="Times New Roman" w:cs="Times New Roman"/>
          <w:b/>
          <w:szCs w:val="21"/>
          <w:lang w:bidi="ar"/>
        </w:rPr>
        <w:t xml:space="preserve">9. </w:t>
      </w:r>
      <w:r>
        <w:rPr>
          <w:rFonts w:hint="default" w:ascii="Times New Roman" w:hAnsi="Times New Roman" w:cs="Times New Roman"/>
          <w:b/>
          <w:szCs w:val="21"/>
          <w:lang w:bidi="ar"/>
        </w:rPr>
        <w:t>补充条款</w:t>
      </w:r>
    </w:p>
    <w:p w14:paraId="02F20CD1">
      <w:pPr>
        <w:pStyle w:val="43"/>
        <w:adjustRightInd w:val="0"/>
        <w:snapToGrid w:val="0"/>
        <w:spacing w:before="0" w:beforeLines="-2147483648" w:after="0" w:afterLines="-2147483648" w:line="360" w:lineRule="auto"/>
        <w:ind w:firstLine="420" w:firstLineChars="200"/>
        <w:rPr>
          <w:rFonts w:hint="eastAsia" w:ascii="宋体" w:hAnsi="宋体" w:cs="宋体"/>
          <w:szCs w:val="21"/>
          <w:lang w:bidi="ar"/>
        </w:rPr>
      </w:pPr>
      <w:r>
        <w:rPr>
          <w:rFonts w:hint="eastAsia" w:ascii="宋体" w:hAnsi="宋体" w:cs="宋体"/>
          <w:szCs w:val="21"/>
          <w:lang w:bidi="ar"/>
        </w:rPr>
        <w:t>9.1委托人应向监理人无偿提供开展监理服务工作所必需的办公用房、生活用房，监理人应当合理、恰当的使用房屋，由此产生的水电、宽带等费用由监理人自行承担，否则委托人有权从监理报酬中直接扣减并视为监理人已经收到相应的数额的工程款，监理人不得以此拒绝开具等额工程款发票或要求委托人承担逾期付款责任。</w:t>
      </w:r>
    </w:p>
    <w:p w14:paraId="1AE271D0">
      <w:pPr>
        <w:pStyle w:val="43"/>
        <w:adjustRightInd/>
        <w:snapToGrid w:val="0"/>
        <w:spacing w:before="0" w:beforeLines="-2147483648" w:after="0" w:afterLines="-2147483648" w:line="360" w:lineRule="auto"/>
        <w:ind w:firstLine="422" w:firstLineChars="200"/>
        <w:rPr>
          <w:rFonts w:ascii="Times New Roman" w:hAnsi="Times New Roman" w:cs="Times New Roman"/>
          <w:b/>
          <w:szCs w:val="21"/>
          <w:lang w:bidi="ar"/>
        </w:rPr>
      </w:pPr>
      <w:r>
        <w:rPr>
          <w:rFonts w:ascii="Times New Roman" w:hAnsi="Times New Roman" w:cs="Times New Roman"/>
          <w:b/>
          <w:szCs w:val="21"/>
          <w:lang w:bidi="ar"/>
        </w:rPr>
        <w:t>10.</w:t>
      </w:r>
      <w:r>
        <w:rPr>
          <w:rFonts w:hint="default" w:ascii="Times New Roman" w:hAnsi="Times New Roman" w:cs="Times New Roman"/>
          <w:b/>
          <w:szCs w:val="21"/>
          <w:lang w:bidi="ar"/>
        </w:rPr>
        <w:t>附加协议条款</w:t>
      </w:r>
    </w:p>
    <w:p w14:paraId="7C3501C4">
      <w:pPr>
        <w:pStyle w:val="43"/>
        <w:adjustRightInd w:val="0"/>
        <w:snapToGrid w:val="0"/>
        <w:spacing w:line="360" w:lineRule="auto"/>
        <w:ind w:firstLine="420" w:firstLineChars="200"/>
        <w:rPr>
          <w:rFonts w:hint="eastAsia" w:ascii="宋体" w:hAnsi="宋体" w:cs="宋体"/>
          <w:szCs w:val="21"/>
          <w:lang w:bidi="ar"/>
        </w:rPr>
      </w:pPr>
      <w:r>
        <w:rPr>
          <w:rFonts w:hint="eastAsia" w:ascii="宋体" w:hAnsi="宋体" w:cs="宋体"/>
          <w:bCs w:val="0"/>
          <w:szCs w:val="21"/>
          <w:lang w:bidi="ar"/>
        </w:rPr>
        <w:t>10.1</w:t>
      </w:r>
      <w:r>
        <w:rPr>
          <w:rFonts w:hint="eastAsia" w:ascii="宋体" w:hAnsi="宋体" w:cs="宋体"/>
          <w:szCs w:val="21"/>
          <w:lang w:bidi="ar"/>
        </w:rPr>
        <w:t>监理人应在监理合同生效之日起3日内，向委托人提交监理规划、监理机构设置图表以及委派的总监理工程师和监理人员的名单、简历及相关证件，如未按时交付材料，应向委托人支付违约金2000元。监理实施细则在监理人收到施工图纸之日起7日内向委托人提交，如未按时交付材料，应向委托人支付违约金2000元。委派的总监理工程师和专业监理工程师必须与报价时承诺的人员一致（在原基础上增加则不限），如不一致，应向委托人支付违约金20000元/个人。不经委托人书面同意，擅自更换报价时承诺的总监理工程师和专业监理工程师的，委托人有权解除合同。监理人所提交的监理规划、监理实施细则的份数为3份。</w:t>
      </w:r>
    </w:p>
    <w:p w14:paraId="1891BECE">
      <w:pPr>
        <w:pStyle w:val="43"/>
        <w:adjustRightInd w:val="0"/>
        <w:snapToGrid w:val="0"/>
        <w:spacing w:line="360" w:lineRule="auto"/>
        <w:ind w:firstLine="420" w:firstLineChars="200"/>
        <w:rPr>
          <w:rFonts w:hint="eastAsia" w:ascii="宋体" w:hAnsi="宋体" w:cs="宋体"/>
          <w:szCs w:val="21"/>
          <w:lang w:bidi="ar"/>
        </w:rPr>
      </w:pPr>
      <w:r>
        <w:rPr>
          <w:rFonts w:hint="eastAsia" w:ascii="宋体" w:hAnsi="宋体" w:cs="宋体"/>
          <w:szCs w:val="21"/>
          <w:lang w:bidi="ar"/>
        </w:rPr>
        <w:t>10.2进度款及工程结算等审核时限：</w:t>
      </w:r>
    </w:p>
    <w:p w14:paraId="2A51AF64">
      <w:pPr>
        <w:pStyle w:val="43"/>
        <w:adjustRightInd w:val="0"/>
        <w:snapToGrid w:val="0"/>
        <w:spacing w:line="360" w:lineRule="auto"/>
        <w:ind w:firstLine="420" w:firstLineChars="200"/>
        <w:rPr>
          <w:rFonts w:hint="eastAsia" w:ascii="宋体" w:hAnsi="宋体" w:cs="宋体"/>
          <w:szCs w:val="21"/>
          <w:lang w:bidi="ar"/>
        </w:rPr>
      </w:pPr>
      <w:r>
        <w:rPr>
          <w:rFonts w:hint="eastAsia" w:ascii="宋体" w:hAnsi="宋体" w:cs="宋体"/>
          <w:szCs w:val="21"/>
          <w:lang w:bidi="ar"/>
        </w:rPr>
        <w:t>（1）监理人应根据项目建设实际完成情况，认真审核施工单位上报的工程进度款，并在收到工程进度款申请书之日起5天内提出书面审核意见，把审核的底稿（或底稿复印件）报委托人现场代表审核，如未按时完成审核，应向委托人支付违约金2000元/次。</w:t>
      </w:r>
    </w:p>
    <w:p w14:paraId="1AC25EE8">
      <w:pPr>
        <w:pStyle w:val="43"/>
        <w:adjustRightInd w:val="0"/>
        <w:snapToGrid w:val="0"/>
        <w:spacing w:line="360" w:lineRule="auto"/>
        <w:ind w:firstLine="420" w:firstLineChars="200"/>
        <w:rPr>
          <w:rFonts w:hint="eastAsia" w:ascii="宋体" w:hAnsi="宋体" w:cs="宋体"/>
          <w:szCs w:val="21"/>
          <w:lang w:bidi="ar"/>
        </w:rPr>
      </w:pPr>
      <w:r>
        <w:rPr>
          <w:rFonts w:hint="eastAsia" w:ascii="宋体" w:hAnsi="宋体" w:cs="宋体"/>
          <w:szCs w:val="21"/>
          <w:lang w:bidi="ar"/>
        </w:rPr>
        <w:t xml:space="preserve">  （2）在工程施工过程中，由于设计变更等原因造成新增项目，须按委托人要求报送</w:t>
      </w:r>
      <w:r>
        <w:rPr>
          <w:rFonts w:hint="eastAsia" w:ascii="宋体" w:hAnsi="宋体" w:cs="宋体"/>
          <w:szCs w:val="21"/>
          <w:u w:val="none"/>
          <w:lang w:bidi="ar"/>
        </w:rPr>
        <w:t>相关监管部门备案</w:t>
      </w:r>
      <w:r>
        <w:rPr>
          <w:rFonts w:hint="eastAsia" w:ascii="宋体" w:hAnsi="宋体" w:cs="宋体"/>
          <w:szCs w:val="21"/>
          <w:lang w:bidi="ar"/>
        </w:rPr>
        <w:t>，监理人应根据工程建设实际情况，审核施工单位提交的资料，收到资料</w:t>
      </w:r>
      <w:r>
        <w:rPr>
          <w:rFonts w:hint="eastAsia" w:ascii="宋体" w:hAnsi="宋体" w:cs="宋体"/>
          <w:szCs w:val="21"/>
          <w:u w:val="none"/>
          <w:lang w:bidi="ar"/>
        </w:rPr>
        <w:t xml:space="preserve"> 5 </w:t>
      </w:r>
      <w:r>
        <w:rPr>
          <w:rFonts w:hint="eastAsia" w:ascii="宋体" w:hAnsi="宋体" w:cs="宋体"/>
          <w:szCs w:val="21"/>
          <w:lang w:bidi="ar"/>
        </w:rPr>
        <w:t>个工作日内提出具有建设性的审核意见，如监理人未认真审核敷衍了事或逾期未提出审核意见，应向委托人支付违约金2000元/次并报委托人现场代表审核。</w:t>
      </w:r>
    </w:p>
    <w:p w14:paraId="2DBF9A03">
      <w:pPr>
        <w:pStyle w:val="43"/>
        <w:adjustRightInd w:val="0"/>
        <w:snapToGrid w:val="0"/>
        <w:spacing w:line="360" w:lineRule="auto"/>
        <w:ind w:firstLine="420" w:firstLineChars="200"/>
        <w:rPr>
          <w:rFonts w:hint="eastAsia" w:ascii="宋体" w:hAnsi="宋体" w:cs="宋体"/>
          <w:szCs w:val="21"/>
          <w:lang w:bidi="ar"/>
        </w:rPr>
      </w:pPr>
      <w:r>
        <w:rPr>
          <w:rFonts w:hint="eastAsia" w:ascii="宋体" w:hAnsi="宋体" w:cs="宋体"/>
          <w:szCs w:val="21"/>
          <w:lang w:bidi="ar"/>
        </w:rPr>
        <w:t xml:space="preserve">  （3）工程竣工验收合格，施工单位提交结算资料，监理人应根据工程建设完成情况，在如下期限内完成审核施工单位提交的结算资料：</w:t>
      </w:r>
    </w:p>
    <w:p w14:paraId="2A84339E">
      <w:pPr>
        <w:pStyle w:val="43"/>
        <w:adjustRightInd w:val="0"/>
        <w:snapToGrid w:val="0"/>
        <w:spacing w:line="360" w:lineRule="auto"/>
        <w:ind w:firstLine="420" w:firstLineChars="200"/>
        <w:rPr>
          <w:rFonts w:hint="eastAsia" w:ascii="宋体" w:hAnsi="宋体" w:cs="宋体"/>
          <w:szCs w:val="21"/>
          <w:lang w:bidi="ar"/>
        </w:rPr>
      </w:pPr>
      <w:r>
        <w:rPr>
          <w:rFonts w:hint="eastAsia" w:ascii="宋体" w:hAnsi="宋体" w:cs="宋体"/>
          <w:szCs w:val="21"/>
          <w:lang w:bidi="ar"/>
        </w:rPr>
        <w:t>施工合同结算价款在500万元以下（含500万元）的工程，在接到结算资料之日起10天内提出审核意见；500万元-2000万元（含2000万元）的工程，在接到结算资料之日起15天内提出审核意见；2000万元-5000万元（含5000万元）的工程，在接到结算资料之日起20天内提出审核意见；5000万元以上（含500万元）的工程，在接到结算资料之日起30天内提出审核意见。并报委托人审核。</w:t>
      </w:r>
    </w:p>
    <w:p w14:paraId="2CBCF5AA">
      <w:pPr>
        <w:pStyle w:val="43"/>
        <w:adjustRightInd w:val="0"/>
        <w:snapToGrid w:val="0"/>
        <w:spacing w:line="360" w:lineRule="auto"/>
        <w:ind w:firstLine="420" w:firstLineChars="200"/>
        <w:rPr>
          <w:rFonts w:hint="eastAsia" w:ascii="宋体" w:hAnsi="宋体" w:cs="宋体"/>
          <w:szCs w:val="21"/>
          <w:lang w:bidi="ar"/>
        </w:rPr>
      </w:pPr>
      <w:r>
        <w:rPr>
          <w:rFonts w:hint="eastAsia" w:ascii="宋体" w:hAnsi="宋体" w:cs="宋体"/>
          <w:szCs w:val="21"/>
          <w:lang w:bidi="ar"/>
        </w:rPr>
        <w:t>（4）监理人逾期提出审核意见的，视为监理人违约，每发生一次应当向发包人支付违约金5000元，造成发包人损失的，监理人应当赔偿。</w:t>
      </w:r>
    </w:p>
    <w:p w14:paraId="68293640">
      <w:pPr>
        <w:pStyle w:val="43"/>
        <w:adjustRightInd w:val="0"/>
        <w:snapToGrid w:val="0"/>
        <w:spacing w:before="0" w:beforeLines="-2147483648" w:after="0" w:afterLines="-2147483648" w:line="360" w:lineRule="auto"/>
        <w:ind w:firstLine="420" w:firstLineChars="200"/>
        <w:rPr>
          <w:rFonts w:hint="eastAsia" w:ascii="宋体" w:hAnsi="宋体" w:cs="宋体"/>
          <w:szCs w:val="21"/>
          <w:lang w:bidi="ar"/>
        </w:rPr>
      </w:pPr>
      <w:r>
        <w:rPr>
          <w:rFonts w:hint="eastAsia" w:ascii="宋体" w:hAnsi="宋体" w:cs="宋体"/>
          <w:szCs w:val="21"/>
          <w:lang w:bidi="ar"/>
        </w:rPr>
        <w:t>10.3监理服务持续时间延长的，费用不增加。</w:t>
      </w:r>
    </w:p>
    <w:p w14:paraId="101317A2">
      <w:pPr>
        <w:pStyle w:val="43"/>
        <w:adjustRightInd w:val="0"/>
        <w:snapToGrid w:val="0"/>
        <w:spacing w:before="0" w:beforeLines="-2147483648" w:after="0" w:afterLines="-2147483648" w:line="360" w:lineRule="auto"/>
        <w:ind w:firstLine="420" w:firstLineChars="200"/>
        <w:rPr>
          <w:rFonts w:hint="eastAsia" w:ascii="宋体" w:hAnsi="宋体" w:cs="宋体"/>
          <w:szCs w:val="21"/>
          <w:lang w:bidi="ar"/>
        </w:rPr>
      </w:pPr>
      <w:r>
        <w:rPr>
          <w:rFonts w:hint="eastAsia" w:ascii="宋体" w:hAnsi="宋体" w:cs="宋体"/>
          <w:szCs w:val="21"/>
          <w:lang w:bidi="ar"/>
        </w:rPr>
        <w:t xml:space="preserve">10.4在委托监理合同签订后，无论任何一方造成实际情况发生变化，使得监理人不能全部或部分执行监理业务时，监理人应立即有效通知至委托人，该监理业务的完成时间应予延长。当恢复执行监理业务时，应当增加不超过15日的时间用于恢复执行监理业务，但监理人不得再对此要求增加费用或补偿。 </w:t>
      </w:r>
    </w:p>
    <w:p w14:paraId="477E6849">
      <w:pPr>
        <w:pStyle w:val="43"/>
        <w:adjustRightInd w:val="0"/>
        <w:snapToGrid w:val="0"/>
        <w:spacing w:before="0" w:beforeLines="-2147483648" w:after="0" w:afterLines="-2147483648" w:line="360" w:lineRule="auto"/>
        <w:ind w:firstLine="420" w:firstLineChars="200"/>
        <w:rPr>
          <w:rFonts w:hint="eastAsia" w:ascii="宋体" w:hAnsi="宋体" w:cs="宋体"/>
          <w:szCs w:val="21"/>
          <w:lang w:bidi="ar"/>
        </w:rPr>
      </w:pPr>
      <w:r>
        <w:rPr>
          <w:rFonts w:hint="eastAsia" w:ascii="宋体" w:hAnsi="宋体" w:cs="宋体"/>
          <w:szCs w:val="21"/>
          <w:lang w:bidi="ar"/>
        </w:rPr>
        <w:t xml:space="preserve">10.5若在工程管理过程中，委托人发现监理人所派人员不具备监理资格或未能认真履行职责、业务水平无法满足工程管理要求，或有其他违法、不当行为的，有权要求监理人更换具有相应资格、经验及以上资格、经验的人员，监理人更换的人员须经委托人书面同意，并由监理人负责更换人员的重新备案工作，若监理人未能在委托人提出更换通知后15天内完成上述工作，委托人有权对监理人进行处罚甚至没收履约保证金，直至解除合同并追究监理人的违约责任，由此引发的一切后果及损失由监理人承担赔偿责任，监理人同意且无任何异议。 </w:t>
      </w:r>
    </w:p>
    <w:p w14:paraId="57738878">
      <w:pPr>
        <w:pStyle w:val="43"/>
        <w:adjustRightInd w:val="0"/>
        <w:snapToGrid w:val="0"/>
        <w:spacing w:before="0" w:beforeLines="-2147483648" w:after="0" w:afterLines="-2147483648" w:line="360" w:lineRule="auto"/>
        <w:ind w:firstLine="420" w:firstLineChars="200"/>
        <w:rPr>
          <w:rFonts w:hint="eastAsia" w:ascii="宋体" w:hAnsi="宋体" w:cs="宋体"/>
          <w:szCs w:val="21"/>
          <w:lang w:bidi="ar"/>
        </w:rPr>
      </w:pPr>
      <w:r>
        <w:rPr>
          <w:rFonts w:hint="eastAsia" w:ascii="宋体" w:hAnsi="宋体" w:cs="宋体"/>
          <w:bCs w:val="0"/>
          <w:szCs w:val="21"/>
          <w:lang w:bidi="ar"/>
        </w:rPr>
        <w:t>10.6</w:t>
      </w:r>
      <w:r>
        <w:rPr>
          <w:rFonts w:hint="eastAsia" w:ascii="宋体" w:hAnsi="宋体" w:cs="宋体"/>
          <w:szCs w:val="21"/>
          <w:lang w:bidi="ar"/>
        </w:rPr>
        <w:t>监理人应为其在本项目的监理人员购买社保的同时另行办理人身意外保险，费用已包含在监理服务报酬当中，委托人无需再向监理人支付。监理人对其监理人员安全负完全责任。</w:t>
      </w:r>
    </w:p>
    <w:p w14:paraId="0647362B">
      <w:pPr>
        <w:pStyle w:val="43"/>
        <w:adjustRightInd w:val="0"/>
        <w:snapToGrid w:val="0"/>
        <w:spacing w:before="0" w:beforeLines="-2147483648" w:after="0" w:afterLines="-2147483648" w:line="360" w:lineRule="auto"/>
        <w:ind w:firstLine="420" w:firstLineChars="200"/>
        <w:rPr>
          <w:rFonts w:hint="eastAsia" w:ascii="宋体" w:hAnsi="宋体" w:cs="宋体"/>
          <w:szCs w:val="21"/>
          <w:lang w:bidi="ar"/>
        </w:rPr>
      </w:pPr>
      <w:r>
        <w:rPr>
          <w:rFonts w:hint="eastAsia" w:ascii="宋体" w:hAnsi="宋体" w:cs="宋体"/>
          <w:szCs w:val="21"/>
          <w:lang w:bidi="ar"/>
        </w:rPr>
        <w:t>10.7监理人在工程监理期间，凡涉及总监理工程师的所有资料文件（包括施工进度款支付申请表）必须加盖总监理工程师执业专用章或由其亲笔签署（印章样式及亲笔写签名要作为合同附件由委托人备案），否则委托人均视为无效资料文件不予认可且委托人有权拒绝支付监理费。</w:t>
      </w:r>
    </w:p>
    <w:p w14:paraId="74F5C98A">
      <w:pPr>
        <w:pStyle w:val="43"/>
        <w:adjustRightInd w:val="0"/>
        <w:snapToGrid w:val="0"/>
        <w:spacing w:before="160" w:beforeLines="50" w:after="160" w:afterLines="50" w:line="360" w:lineRule="auto"/>
        <w:ind w:firstLine="420" w:firstLineChars="200"/>
        <w:rPr>
          <w:szCs w:val="21"/>
        </w:rPr>
      </w:pPr>
      <w:r>
        <w:rPr>
          <w:szCs w:val="21"/>
          <w:lang w:bidi="ar"/>
        </w:rPr>
        <w:t>10.8</w:t>
      </w:r>
      <w:r>
        <w:rPr>
          <w:rFonts w:hint="eastAsia" w:ascii="宋体" w:hAnsi="宋体" w:cs="宋体"/>
          <w:szCs w:val="21"/>
          <w:lang w:bidi="ar"/>
        </w:rPr>
        <w:t>在施工监理阶段，监理人应认真执行监理人员进场计划，不得随意变更。若监理人在实际施工现场的总监理工程师和专业监理工程师中的任何一人与报价文件不符，都属监理人违约，监理人除应当在</w:t>
      </w:r>
      <w:r>
        <w:rPr>
          <w:szCs w:val="21"/>
          <w:lang w:bidi="ar"/>
        </w:rPr>
        <w:t>7</w:t>
      </w:r>
      <w:r>
        <w:rPr>
          <w:rFonts w:hint="eastAsia" w:ascii="宋体" w:hAnsi="宋体" w:cs="宋体"/>
          <w:szCs w:val="21"/>
          <w:lang w:bidi="ar"/>
        </w:rPr>
        <w:t>天内更换委托人认可的总监理工程师或专业监理工程师外，还须向委托人支付违约金，违约金按总监理工程师</w:t>
      </w:r>
      <w:r>
        <w:rPr>
          <w:szCs w:val="21"/>
          <w:lang w:bidi="ar"/>
        </w:rPr>
        <w:t>20000</w:t>
      </w:r>
      <w:r>
        <w:rPr>
          <w:rFonts w:hint="eastAsia" w:ascii="宋体" w:hAnsi="宋体" w:cs="宋体"/>
          <w:szCs w:val="21"/>
          <w:lang w:bidi="ar"/>
        </w:rPr>
        <w:t>元</w:t>
      </w:r>
      <w:r>
        <w:rPr>
          <w:szCs w:val="21"/>
          <w:lang w:bidi="ar"/>
        </w:rPr>
        <w:t>/</w:t>
      </w:r>
      <w:r>
        <w:rPr>
          <w:rFonts w:hint="eastAsia" w:ascii="宋体" w:hAnsi="宋体" w:cs="宋体"/>
          <w:szCs w:val="21"/>
          <w:lang w:bidi="ar"/>
        </w:rPr>
        <w:t>次；专业监理工程师</w:t>
      </w:r>
      <w:r>
        <w:rPr>
          <w:szCs w:val="21"/>
          <w:lang w:bidi="ar"/>
        </w:rPr>
        <w:t>10000</w:t>
      </w:r>
      <w:r>
        <w:rPr>
          <w:rFonts w:hint="eastAsia" w:ascii="宋体" w:hAnsi="宋体" w:cs="宋体"/>
          <w:szCs w:val="21"/>
          <w:lang w:bidi="ar"/>
        </w:rPr>
        <w:t>元</w:t>
      </w:r>
      <w:r>
        <w:rPr>
          <w:szCs w:val="21"/>
          <w:lang w:bidi="ar"/>
        </w:rPr>
        <w:t>/</w:t>
      </w:r>
      <w:r>
        <w:rPr>
          <w:rFonts w:hint="eastAsia" w:ascii="宋体" w:hAnsi="宋体" w:cs="宋体"/>
          <w:szCs w:val="21"/>
          <w:lang w:bidi="ar"/>
        </w:rPr>
        <w:t>次，监理人拒不更换的，委托人有权暂不支付监理服务费报酬，且有权解除合同并追究监理人的违约责任。</w:t>
      </w:r>
    </w:p>
    <w:p w14:paraId="14419CA3">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szCs w:val="21"/>
          <w:lang w:bidi="ar"/>
        </w:rPr>
        <w:t>委托人有权随时检查监理人的总监理工程师到岗情况，</w:t>
      </w:r>
      <w:r>
        <w:rPr>
          <w:rFonts w:hint="eastAsia" w:ascii="宋体" w:hAnsi="宋体" w:cs="宋体"/>
          <w:bCs w:val="0"/>
          <w:szCs w:val="21"/>
          <w:lang w:bidi="ar"/>
        </w:rPr>
        <w:t>其中总监理工程师自签订合同后10日内应到委托人考勤机处录入指纹并开始每天打卡考勤，每月驻现场不得少于21天，若</w:t>
      </w:r>
      <w:r>
        <w:rPr>
          <w:rFonts w:hint="eastAsia" w:ascii="宋体" w:hAnsi="宋体" w:cs="宋体"/>
          <w:szCs w:val="21"/>
          <w:u w:val="single"/>
          <w:lang w:bidi="ar"/>
        </w:rPr>
        <w:t>少于21天的，监理人按2000元/天向发包人支付违约金</w:t>
      </w:r>
      <w:r>
        <w:rPr>
          <w:rFonts w:hint="eastAsia" w:ascii="宋体" w:hAnsi="宋体" w:cs="宋体"/>
          <w:bCs w:val="0"/>
          <w:szCs w:val="21"/>
          <w:lang w:bidi="ar"/>
        </w:rPr>
        <w:t>。总监代表及专业监理工程师应全职常驻现场，如离场未书面通知委托人现场代表，</w:t>
      </w:r>
      <w:r>
        <w:rPr>
          <w:rFonts w:hint="eastAsia" w:ascii="宋体" w:hAnsi="宋体" w:cs="宋体"/>
          <w:bCs w:val="0"/>
          <w:szCs w:val="21"/>
          <w:u w:val="single"/>
          <w:lang w:bidi="ar"/>
        </w:rPr>
        <w:t>将按1000元/天</w:t>
      </w:r>
      <w:r>
        <w:rPr>
          <w:rFonts w:hint="eastAsia" w:ascii="宋体" w:hAnsi="宋体" w:cs="宋体"/>
          <w:szCs w:val="21"/>
          <w:u w:val="single"/>
          <w:lang w:bidi="ar"/>
        </w:rPr>
        <w:t>/人向发包人支付违约金</w:t>
      </w:r>
      <w:r>
        <w:rPr>
          <w:rFonts w:hint="eastAsia" w:ascii="宋体" w:hAnsi="宋体" w:cs="宋体"/>
          <w:bCs w:val="0"/>
          <w:szCs w:val="21"/>
          <w:lang w:bidi="ar"/>
        </w:rPr>
        <w:t>。若总监、总监代表及监理人员工作不称职，委托人有权按10.5条要求监理人另行更换合格人员并追究监理人的违约责任。</w:t>
      </w:r>
    </w:p>
    <w:p w14:paraId="3422C31A">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监理人因自身原因要求更换总监理工程师、专业监理工程师的，必须提前10日报委托人审批，委托人有权不予批准，对于委托人的决定，监理人必须遵守。未经委托人批准擅自调换总监理工程师的，视为监理人违约，应当向委托人支付违约金50000元/次，同时发包人有权解除合同并追究监理人违约责任；擅自调换专业监理工程师的，视为监理人违约，委托人按每人20000元对监理人收取违约金，如监理人不整改的，委托人有权解除合同并追究监理人的违约责任。</w:t>
      </w:r>
    </w:p>
    <w:p w14:paraId="34A38487">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监理人应按旁站规划做好旁站工作，在工程施工过程中，若发现应旁站而没有旁站的情况，每次应当向发包人支付10000元违约金；监理人不如实或未按时做好工作记录，或者给施工单位做虚假/不实签证的，每次应当向发包人支付20000元违约金，委托人有权责令其改正，在监理人改正之前委托人有权暂不支付监理酬金。上述情形累计达到三次的或虽未达到三次但拒不改正的，委托人有权解除合同并追究监理人的违约责任和损失赔偿责任。</w:t>
      </w:r>
    </w:p>
    <w:p w14:paraId="001FFED9">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监理人必须严格按照《建设工程监理规范》和本合同项目所在地建设主管部门的要求进行监理。并按规范及时收集汇总各类监理资料。委托人有权对监理人的监理行为和监理资料等进行检查。若监理人的监理行为和监理资料不符合《建设工程监理规范》或本合同项目所在地建设主管部门要求的，委托人有权要求监理人进行整改，并有权要求监理人向委托人支付违约金1000元~10000元/次；若监理人拒不整改的，委托人有权解除本合同并追究监理人的违约责任及经济赔偿责任。</w:t>
      </w:r>
    </w:p>
    <w:p w14:paraId="6680691A">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szCs w:val="21"/>
          <w:lang w:bidi="ar"/>
        </w:rPr>
        <w:t>在委托人检查发现工程质量和安全管理、环境保护和文明施工存在问题，而监理人在委托人检查发现前没有发现这些问题的，委托人有权要求监理人向委托人按 1000~5000元/次的标准支付违约金。</w:t>
      </w:r>
    </w:p>
    <w:p w14:paraId="674CF2F8">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未经委托人书面要求或委托，监理人不得以任何形式向委托人和施工单位推荐分包队伍及材料设备供应商；否则视为监理人违约，监理人应按本合同总额的50%向委托人支付违约金。</w:t>
      </w:r>
    </w:p>
    <w:p w14:paraId="0E120B3C">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监理人负责监督施工单位按委托人要求及时并完整地报送竣工资料，保证工程验收备案工作顺利完成；</w:t>
      </w:r>
    </w:p>
    <w:p w14:paraId="6545A8ED">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每月进度按现场实际完成合格工程量审核；</w:t>
      </w:r>
    </w:p>
    <w:p w14:paraId="3C6E8BC7">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对于监理合同完成后出现的质量责任事故，在政府主管部门调查后，发现监理人确有责任的，监监理人须按以下约定承担相应违约责任：</w:t>
      </w:r>
    </w:p>
    <w:p w14:paraId="77F5188C">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在自治区级或国家级的检查中发现关于工程质量和安全管理、环境保护和文明施工等方面存在问题且被通报的，监理人应按20000元/次的标准向委托人支付违约金。累计达三次以上的，委托人有权解除合同并追究监理人违约责任。</w:t>
      </w:r>
    </w:p>
    <w:p w14:paraId="10BBA919">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在施工生产过程中发生安全事故的，监理人除应当按其过错大小承担损失赔偿责任外，还应当依照下列规定向发包人支付惩罚性违约金，若委托人要求更换总监理工程师和其他监理人员的，则监理人必须服从，同时委托人有权解除合同：</w:t>
      </w:r>
    </w:p>
    <w:p w14:paraId="0A52EFB0">
      <w:pPr>
        <w:pStyle w:val="43"/>
        <w:numPr>
          <w:ilvl w:val="-1"/>
          <w:numId w:val="0"/>
        </w:numPr>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发生一般事故的，处5000元（含5000元）以上20000元以下罚款；</w:t>
      </w:r>
    </w:p>
    <w:p w14:paraId="2AC1F0FB">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 xml:space="preserve">    （二）发生较大事故的，处20000元（含20000元）以上50000元以下罚款；</w:t>
      </w:r>
    </w:p>
    <w:p w14:paraId="6D468FF1">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（三）发生重大事故的，处50000元（含50000元）以上10万元以下罚款；</w:t>
      </w:r>
    </w:p>
    <w:p w14:paraId="470D0AAF">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（四）发生特别重大事故的，处10万元（含10万元）以上20万元以下罚款。</w:t>
      </w:r>
    </w:p>
    <w:p w14:paraId="5A5FB842">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szCs w:val="21"/>
          <w:lang w:bidi="ar"/>
        </w:rPr>
        <w:t>上述监理人向委托人支付违约金另行计算，不包括在各级政府行政职能部门的检查罚款之列,委托人从任意一期监理服务报酬中扣除监理人应当支付的违约金；如监理人拒不按时向行政部门缴纳罚款的，委托人有权从任意一期监理服务报酬中代扣代缴。</w:t>
      </w:r>
    </w:p>
    <w:p w14:paraId="252CB044">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szCs w:val="21"/>
          <w:lang w:bidi="ar"/>
        </w:rPr>
        <w:t>监理服务期间，委托人发现监理机构的监理人员工作不力或者有不诚信甚至违法违纪行为损害委托人利益的，有权要求监理人更换有关人员并改正，</w:t>
      </w:r>
      <w:r>
        <w:rPr>
          <w:rFonts w:hint="eastAsia" w:ascii="宋体" w:hAnsi="宋体" w:cs="宋体"/>
          <w:bCs w:val="0"/>
          <w:szCs w:val="21"/>
          <w:lang w:bidi="ar"/>
        </w:rPr>
        <w:t>造成委托人损失的，监理人须承担赔偿责任。监理人改正前，</w:t>
      </w:r>
      <w:r>
        <w:rPr>
          <w:rFonts w:hint="eastAsia" w:ascii="宋体" w:hAnsi="宋体" w:cs="宋体"/>
          <w:szCs w:val="21"/>
          <w:lang w:bidi="ar"/>
        </w:rPr>
        <w:t>委托人有权暂不支付监理服务费报酬，情节严重的，委托人有权解除合同并追究监理人的违约责任。</w:t>
      </w:r>
    </w:p>
    <w:p w14:paraId="3E72F6F2">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bCs w:val="0"/>
          <w:szCs w:val="21"/>
          <w:lang w:bidi="ar"/>
        </w:rPr>
        <w:t>10.9</w:t>
      </w:r>
      <w:r>
        <w:rPr>
          <w:rFonts w:hint="eastAsia" w:ascii="宋体" w:hAnsi="宋体" w:cs="宋体"/>
          <w:szCs w:val="21"/>
          <w:lang w:bidi="ar"/>
        </w:rPr>
        <w:t xml:space="preserve"> 监理人必须实事求是认真审核承包人提交的每一期工程量报告，对因变更而发生的新增项目单价应严格按施工合同约定审核，监理人不得与承包人串通，虚报、冒报、谎报工程量。监理人对经其审核的工程量报告的真实性和准确性负责，监理人审核确认的最终累计工程量与经造价审计部门审核的实际工程量误差在＋6%以上（含6%）的，视为监理人违约，委托人按超出6%以上的误差额的1%对监理人收取违约金。前述情况累计出现达三次以上（含三次）的，委托人有权解除合同并追究监理人的违约责任。</w:t>
      </w:r>
    </w:p>
    <w:p w14:paraId="5B787E60">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bCs w:val="0"/>
          <w:szCs w:val="21"/>
          <w:lang w:bidi="ar"/>
        </w:rPr>
        <w:t>10.10</w:t>
      </w:r>
      <w:r>
        <w:rPr>
          <w:rFonts w:hint="eastAsia" w:ascii="宋体" w:hAnsi="宋体" w:cs="宋体"/>
          <w:szCs w:val="21"/>
          <w:lang w:bidi="ar"/>
        </w:rPr>
        <w:t>本监理合同执行期间，如发生不可抗力致使合同无法履行的，遭遇不可抗力的一方应当采取合理措施避免损失扩大并在3日内通知对方，本合同可以解除。合同解除后，监理人的监理报酬由委托人与监理人协商确定，互不追究对方违约责任；但因一方拒不采取措施合理措施导致损失扩大的，由其承担损失赔偿责任。</w:t>
      </w:r>
    </w:p>
    <w:p w14:paraId="38950842">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bCs w:val="0"/>
          <w:szCs w:val="21"/>
          <w:lang w:bidi="ar"/>
        </w:rPr>
        <w:t>10.11</w:t>
      </w:r>
      <w:r>
        <w:rPr>
          <w:rFonts w:hint="eastAsia" w:ascii="宋体" w:hAnsi="宋体" w:cs="宋体"/>
          <w:szCs w:val="21"/>
          <w:lang w:bidi="ar"/>
        </w:rPr>
        <w:t xml:space="preserve"> 监理人必须在签订监理合同后14天内按《建设工程项目质量安全报监须知》要求提交合格的报监资料给委托人，逾期不能提交的，视为监理人违约，监理人应向委托人支付违约金20000元，同时委托人有权不支付监理费而无须承担任何违约责任，直至监理人提交清合格的资料为止；逾期30不能提交的，委托人有权解除合同。监理人必须在本合同签订后14天内按《核发建筑工程施工许可证（单位）》要求提交合格的申请办理施工许可证资料给委托人，否则，视为监理人违约，监理人应向委托人支付违约金20000元，并承担委托人不能按时办理施工许可证所造成的损失赔偿责任，同时委托人有权不支付监理费而无须承担任何违约责任，逾期30天不能提交的，委托人有权解除合同并追究监理人的违约责任。</w:t>
      </w:r>
    </w:p>
    <w:p w14:paraId="486AAE95">
      <w:pPr>
        <w:pStyle w:val="43"/>
        <w:adjustRightInd w:val="0"/>
        <w:snapToGrid w:val="0"/>
        <w:spacing w:before="160" w:beforeLines="50" w:after="160" w:afterLines="50" w:line="360" w:lineRule="auto"/>
        <w:ind w:firstLine="420" w:firstLineChars="200"/>
        <w:jc w:val="left"/>
        <w:rPr>
          <w:rFonts w:hint="eastAsia" w:ascii="宋体" w:hAnsi="宋体" w:cs="宋体"/>
          <w:szCs w:val="21"/>
          <w:lang w:bidi="ar"/>
        </w:rPr>
      </w:pPr>
      <w:r>
        <w:rPr>
          <w:rFonts w:hint="eastAsia" w:ascii="宋体" w:hAnsi="宋体" w:cs="宋体"/>
          <w:szCs w:val="21"/>
          <w:lang w:bidi="ar"/>
        </w:rPr>
        <w:t>10.12因监理人原因提前解除合同的，监理人应当向按合同约定的监理报酬的30%向委托人支付违约金，并赔偿委托人所受的全部损失，未支付的监理服务报酬委托人无须支付。</w:t>
      </w:r>
    </w:p>
    <w:p w14:paraId="3FB86578">
      <w:pPr>
        <w:pStyle w:val="43"/>
        <w:adjustRightInd w:val="0"/>
        <w:snapToGrid w:val="0"/>
        <w:spacing w:before="160" w:beforeLines="50" w:after="160" w:afterLines="50" w:line="360" w:lineRule="auto"/>
        <w:ind w:firstLine="420" w:firstLineChars="200"/>
        <w:jc w:val="left"/>
        <w:rPr>
          <w:rFonts w:hint="eastAsia" w:ascii="宋体" w:hAnsi="宋体" w:cs="宋体"/>
          <w:szCs w:val="21"/>
          <w:lang w:bidi="ar"/>
        </w:rPr>
      </w:pPr>
      <w:r>
        <w:rPr>
          <w:rFonts w:hint="eastAsia" w:ascii="宋体" w:hAnsi="宋体" w:cs="宋体"/>
          <w:bCs w:val="0"/>
          <w:szCs w:val="21"/>
          <w:lang w:bidi="ar"/>
        </w:rPr>
        <w:t>10.13</w:t>
      </w:r>
      <w:r>
        <w:rPr>
          <w:rFonts w:hint="eastAsia" w:ascii="宋体" w:hAnsi="宋体" w:cs="宋体"/>
          <w:szCs w:val="21"/>
          <w:lang w:bidi="ar"/>
        </w:rPr>
        <w:t>以上违约金或损失赔偿金委托人有权直接从监理人的任意一期监理服务酬金中部分或全额扣减。</w:t>
      </w:r>
    </w:p>
    <w:p w14:paraId="2019702E">
      <w:pPr>
        <w:pStyle w:val="43"/>
        <w:adjustRightInd w:val="0"/>
        <w:snapToGrid w:val="0"/>
        <w:spacing w:before="160" w:beforeLines="50" w:after="160" w:afterLines="50" w:line="360" w:lineRule="auto"/>
        <w:ind w:firstLine="420" w:firstLineChars="200"/>
        <w:jc w:val="left"/>
        <w:rPr>
          <w:rFonts w:hint="eastAsia" w:ascii="宋体" w:hAnsi="宋体" w:cs="宋体"/>
          <w:szCs w:val="21"/>
          <w:lang w:bidi="ar"/>
        </w:rPr>
      </w:pPr>
      <w:r>
        <w:rPr>
          <w:rFonts w:hint="eastAsia" w:ascii="宋体" w:hAnsi="宋体" w:cs="宋体"/>
          <w:szCs w:val="21"/>
          <w:lang w:bidi="ar"/>
        </w:rPr>
        <w:t>10.14监理人须在钦州市缴纳与本工程相关的税款。</w:t>
      </w:r>
    </w:p>
    <w:p w14:paraId="0AF16869">
      <w:pPr>
        <w:pStyle w:val="43"/>
        <w:adjustRightInd w:val="0"/>
        <w:snapToGrid w:val="0"/>
        <w:spacing w:before="160" w:beforeLines="50" w:after="160" w:afterLines="50" w:line="360" w:lineRule="auto"/>
        <w:ind w:firstLine="420" w:firstLineChars="200"/>
        <w:jc w:val="left"/>
        <w:rPr>
          <w:rFonts w:hint="eastAsia" w:ascii="宋体" w:hAnsi="宋体" w:cs="宋体"/>
          <w:szCs w:val="21"/>
          <w:lang w:bidi="ar"/>
        </w:rPr>
      </w:pPr>
      <w:r>
        <w:rPr>
          <w:rFonts w:hint="eastAsia" w:ascii="宋体" w:hAnsi="宋体" w:cs="宋体"/>
          <w:szCs w:val="21"/>
          <w:lang w:bidi="ar"/>
        </w:rPr>
        <w:t>10.15监理人应当在申请每期监理服务酬金前向委托人开具正式符合要求的增值税专用发票，否则委托人有权不支付该监理服务报酬且无须承担任何违约责任，直至监理人开具足额符合要求的增值税专用发票为止；最后一期监理服务酬金也应当先开具增值税专用发票后委托人再支付。</w:t>
      </w:r>
    </w:p>
    <w:p w14:paraId="6A3F337F">
      <w:pPr>
        <w:pStyle w:val="43"/>
        <w:adjustRightInd w:val="0"/>
        <w:snapToGrid w:val="0"/>
        <w:spacing w:before="160" w:beforeLines="50" w:after="160" w:afterLines="50" w:line="360" w:lineRule="auto"/>
        <w:ind w:firstLine="420" w:firstLineChars="200"/>
        <w:jc w:val="left"/>
        <w:rPr>
          <w:rFonts w:hint="eastAsia" w:ascii="宋体" w:hAnsi="宋体" w:cs="宋体"/>
          <w:szCs w:val="21"/>
          <w:lang w:bidi="ar"/>
        </w:rPr>
      </w:pPr>
      <w:r>
        <w:rPr>
          <w:rFonts w:hint="eastAsia" w:ascii="宋体" w:hAnsi="宋体" w:cs="宋体"/>
          <w:szCs w:val="21"/>
          <w:lang w:bidi="ar"/>
        </w:rPr>
        <w:t>10.16 违反农民工工资管理规定的处罚</w:t>
      </w:r>
    </w:p>
    <w:p w14:paraId="15A7878D">
      <w:pPr>
        <w:pStyle w:val="43"/>
        <w:adjustRightInd w:val="0"/>
        <w:snapToGrid w:val="0"/>
        <w:spacing w:before="160" w:beforeLines="50" w:after="160" w:afterLines="50" w:line="360" w:lineRule="auto"/>
        <w:ind w:firstLine="420" w:firstLineChars="200"/>
        <w:jc w:val="left"/>
        <w:rPr>
          <w:rFonts w:hint="eastAsia" w:ascii="宋体" w:hAnsi="宋体" w:cs="宋体"/>
          <w:szCs w:val="21"/>
          <w:lang w:bidi="ar"/>
        </w:rPr>
      </w:pPr>
      <w:r>
        <w:rPr>
          <w:rFonts w:hint="eastAsia" w:ascii="宋体" w:hAnsi="宋体" w:cs="宋体"/>
          <w:szCs w:val="21"/>
          <w:lang w:bidi="ar"/>
        </w:rPr>
        <w:t>监理人负有监督农民工工资发放职责，监督工程如有出现违反农民工工资管理有关规定要求或监督不利造成农民工闹事的，监理人应按1000元/次的标准向委托人支付违约金；违约金从监理服务酬金中扣除。</w:t>
      </w:r>
    </w:p>
    <w:p w14:paraId="5707DBBA">
      <w:pPr>
        <w:pStyle w:val="43"/>
        <w:adjustRightInd w:val="0"/>
        <w:snapToGrid w:val="0"/>
        <w:spacing w:before="160" w:beforeLines="50" w:after="160" w:afterLines="50" w:line="360" w:lineRule="auto"/>
        <w:ind w:firstLine="420" w:firstLineChars="200"/>
        <w:rPr>
          <w:rFonts w:hint="eastAsia" w:ascii="宋体" w:hAnsi="宋体" w:cs="宋体"/>
          <w:szCs w:val="21"/>
          <w:lang w:bidi="ar"/>
        </w:rPr>
      </w:pPr>
      <w:r>
        <w:rPr>
          <w:rFonts w:hint="eastAsia" w:ascii="宋体" w:hAnsi="宋体" w:cs="宋体"/>
          <w:bCs w:val="0"/>
          <w:szCs w:val="21"/>
          <w:lang w:bidi="ar"/>
        </w:rPr>
        <w:t>10.17</w:t>
      </w:r>
      <w:r>
        <w:rPr>
          <w:rFonts w:hint="eastAsia" w:ascii="宋体" w:hAnsi="宋体" w:cs="宋体"/>
          <w:szCs w:val="21"/>
          <w:lang w:bidi="ar"/>
        </w:rPr>
        <w:t>本合同所涉工程实行“样板引路”和“第三方实测实量”评估，根据《中马钦州产业园区建设工程开展第三方实测实量评估的指导意见》的通知规定执行。</w:t>
      </w:r>
    </w:p>
    <w:p w14:paraId="63854E8D">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10.18 因</w:t>
      </w:r>
      <w:r>
        <w:rPr>
          <w:rFonts w:hint="eastAsia" w:ascii="宋体" w:hAnsi="宋体" w:cs="宋体"/>
          <w:szCs w:val="21"/>
          <w:lang w:bidi="ar"/>
        </w:rPr>
        <w:t>监理人</w:t>
      </w:r>
      <w:r>
        <w:rPr>
          <w:rFonts w:hint="eastAsia" w:ascii="宋体" w:hAnsi="宋体" w:cs="宋体"/>
          <w:bCs w:val="0"/>
          <w:szCs w:val="21"/>
          <w:lang w:bidi="ar"/>
        </w:rPr>
        <w:t>的违约致使委托人采取诉讼或仲裁方式实现权利的，</w:t>
      </w:r>
      <w:r>
        <w:rPr>
          <w:rFonts w:hint="eastAsia" w:ascii="宋体" w:hAnsi="宋体" w:cs="宋体"/>
          <w:szCs w:val="21"/>
          <w:lang w:bidi="ar"/>
        </w:rPr>
        <w:t>监理人</w:t>
      </w:r>
      <w:r>
        <w:rPr>
          <w:rFonts w:hint="eastAsia" w:ascii="宋体" w:hAnsi="宋体" w:cs="宋体"/>
          <w:bCs w:val="0"/>
          <w:szCs w:val="21"/>
          <w:lang w:bidi="ar"/>
        </w:rPr>
        <w:t>应承担委托人为此支付的律师费、诉讼费、仲裁费、调查取证费、差旅费、公证费、资料费、保全费、保全保险费及其他实现权利的一切费用。</w:t>
      </w:r>
    </w:p>
    <w:p w14:paraId="0C236B37">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10.19本合同未尽事宜，双方另行协商签订补充协议。</w:t>
      </w:r>
    </w:p>
    <w:p w14:paraId="65F29708">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 xml:space="preserve"> 11.1逾期违约金统一标准</w:t>
      </w:r>
    </w:p>
    <w:p w14:paraId="2698F1CA">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1）监理人发生任何履约逾期情形，包括但不限于监理文件提交逾期、人员到岗逾期、审核意见出具逾期、配合义务履行逾期、整改义务履行逾期等，均应按本合同暂定监理酬金总额为基数，以每日万分之三（0.03%）的标准向</w:t>
      </w:r>
      <w:r>
        <w:rPr>
          <w:rFonts w:hint="eastAsia" w:ascii="宋体" w:hAnsi="宋体" w:cs="宋体"/>
          <w:bCs w:val="0"/>
          <w:szCs w:val="21"/>
          <w:lang w:val="en-US" w:eastAsia="zh-CN" w:bidi="ar"/>
        </w:rPr>
        <w:t>委托人</w:t>
      </w:r>
      <w:r>
        <w:rPr>
          <w:rFonts w:hint="eastAsia" w:ascii="宋体" w:hAnsi="宋体" w:cs="宋体"/>
          <w:bCs w:val="0"/>
          <w:szCs w:val="21"/>
          <w:lang w:bidi="ar"/>
        </w:rPr>
        <w:t>支付逾期违约金，自约定履行期限届满之次日起计算至实际履行完毕之日止，该违约金不设上限。</w:t>
      </w:r>
    </w:p>
    <w:p w14:paraId="54808ABA">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（2）前述逾期违约金的支付不影响</w:t>
      </w:r>
      <w:r>
        <w:rPr>
          <w:rFonts w:hint="eastAsia" w:ascii="宋体" w:hAnsi="宋体" w:cs="宋体"/>
          <w:bCs w:val="0"/>
          <w:szCs w:val="21"/>
          <w:lang w:val="en-US" w:eastAsia="zh-CN" w:bidi="ar"/>
        </w:rPr>
        <w:t>委托人</w:t>
      </w:r>
      <w:r>
        <w:rPr>
          <w:rFonts w:hint="eastAsia" w:ascii="宋体" w:hAnsi="宋体" w:cs="宋体"/>
          <w:bCs w:val="0"/>
          <w:szCs w:val="21"/>
          <w:lang w:bidi="ar"/>
        </w:rPr>
        <w:t>依据本合同其他条款主张继续履行、采取补救措施、解除合同、赔偿损失等其他违约责任的权利。</w:t>
      </w:r>
    </w:p>
    <w:p w14:paraId="3C95F580">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11.2 违约金适用规则</w:t>
      </w:r>
    </w:p>
    <w:p w14:paraId="5FF81613">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（1）本合同其他条款约定的固定金额违约金或比例违约金，如低于按本条第11.1款第（1）项计算的逾期违约金金额的，</w:t>
      </w:r>
      <w:r>
        <w:rPr>
          <w:rFonts w:hint="eastAsia" w:ascii="宋体" w:hAnsi="宋体" w:cs="宋体"/>
          <w:bCs w:val="0"/>
          <w:szCs w:val="21"/>
          <w:lang w:val="en-US" w:eastAsia="zh-CN" w:bidi="ar"/>
        </w:rPr>
        <w:t>委托人</w:t>
      </w:r>
      <w:r>
        <w:rPr>
          <w:rFonts w:hint="eastAsia" w:ascii="宋体" w:hAnsi="宋体" w:cs="宋体"/>
          <w:bCs w:val="0"/>
          <w:szCs w:val="21"/>
          <w:lang w:bidi="ar"/>
        </w:rPr>
        <w:t>有权选择适用较高标准。</w:t>
      </w:r>
    </w:p>
    <w:p w14:paraId="45D4D759">
      <w:pPr>
        <w:pStyle w:val="43"/>
        <w:adjustRightInd w:val="0"/>
        <w:snapToGrid w:val="0"/>
        <w:spacing w:before="160" w:beforeLines="50" w:after="160" w:afterLines="50" w:line="360" w:lineRule="auto"/>
        <w:ind w:firstLine="420" w:firstLineChars="200"/>
        <w:rPr>
          <w:rFonts w:hint="eastAsia" w:ascii="宋体" w:hAnsi="宋体" w:cs="宋体"/>
          <w:bCs w:val="0"/>
          <w:szCs w:val="21"/>
          <w:lang w:bidi="ar"/>
        </w:rPr>
      </w:pPr>
      <w:r>
        <w:rPr>
          <w:rFonts w:hint="eastAsia" w:ascii="宋体" w:hAnsi="宋体" w:cs="宋体"/>
          <w:bCs w:val="0"/>
          <w:szCs w:val="21"/>
          <w:lang w:bidi="ar"/>
        </w:rPr>
        <w:t>（2）监理人同一违约行为同时符合多项违约金适用情形的，违约金累计计算，但</w:t>
      </w:r>
      <w:r>
        <w:rPr>
          <w:rFonts w:hint="eastAsia" w:ascii="宋体" w:hAnsi="宋体" w:cs="宋体"/>
          <w:bCs w:val="0"/>
          <w:szCs w:val="21"/>
          <w:lang w:val="en-US" w:eastAsia="zh-CN" w:bidi="ar"/>
        </w:rPr>
        <w:t>委托人</w:t>
      </w:r>
      <w:r>
        <w:rPr>
          <w:rFonts w:hint="eastAsia" w:ascii="宋体" w:hAnsi="宋体" w:cs="宋体"/>
          <w:bCs w:val="0"/>
          <w:szCs w:val="21"/>
          <w:lang w:bidi="ar"/>
        </w:rPr>
        <w:t>实际损失已获得足额赔偿的部分应予扣减。</w:t>
      </w:r>
    </w:p>
    <w:p w14:paraId="6A51EDD8">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 xml:space="preserve"> 12.1 </w:t>
      </w:r>
      <w:r>
        <w:rPr>
          <w:rFonts w:hint="eastAsia" w:ascii="宋体" w:hAnsi="宋体" w:cs="宋体"/>
          <w:sz w:val="21"/>
          <w:szCs w:val="21"/>
          <w:lang w:val="en-US" w:eastAsia="zh-CN" w:bidi="ar"/>
        </w:rPr>
        <w:t>委托人</w:t>
      </w:r>
      <w:r>
        <w:rPr>
          <w:rFonts w:hint="eastAsia" w:ascii="宋体" w:hAnsi="宋体" w:cs="宋体"/>
          <w:sz w:val="21"/>
          <w:szCs w:val="21"/>
          <w:lang w:bidi="ar"/>
        </w:rPr>
        <w:t>单方解除权</w:t>
      </w:r>
    </w:p>
    <w:p w14:paraId="641E562D">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val="en-US" w:eastAsia="zh-CN" w:bidi="ar"/>
        </w:rPr>
        <w:t>12.1.1</w:t>
      </w:r>
      <w:r>
        <w:rPr>
          <w:rFonts w:hint="eastAsia" w:ascii="宋体" w:hAnsi="宋体" w:cs="宋体"/>
          <w:sz w:val="21"/>
          <w:szCs w:val="21"/>
          <w:lang w:bidi="ar"/>
        </w:rPr>
        <w:t>发生下列情形之一的，</w:t>
      </w:r>
      <w:r>
        <w:rPr>
          <w:rFonts w:hint="eastAsia" w:ascii="宋体" w:hAnsi="宋体" w:cs="宋体"/>
          <w:sz w:val="21"/>
          <w:szCs w:val="21"/>
          <w:lang w:val="en-US" w:eastAsia="zh-CN" w:bidi="ar"/>
        </w:rPr>
        <w:t>委托人</w:t>
      </w:r>
      <w:r>
        <w:rPr>
          <w:rFonts w:hint="eastAsia" w:ascii="宋体" w:hAnsi="宋体" w:cs="宋体"/>
          <w:sz w:val="21"/>
          <w:szCs w:val="21"/>
          <w:lang w:bidi="ar"/>
        </w:rPr>
        <w:t>有权单方书面通知监理人解除本合同，自通知送达之日起合同解除：</w:t>
      </w:r>
    </w:p>
    <w:p w14:paraId="7ADCECF6">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（1）监理人逾期履行任何合同义务累计超过30日，经</w:t>
      </w:r>
      <w:r>
        <w:rPr>
          <w:rFonts w:hint="eastAsia" w:ascii="宋体" w:hAnsi="宋体" w:cs="宋体"/>
          <w:sz w:val="21"/>
          <w:szCs w:val="21"/>
          <w:lang w:val="en-US" w:eastAsia="zh-CN" w:bidi="ar"/>
        </w:rPr>
        <w:t>委托人</w:t>
      </w:r>
      <w:r>
        <w:rPr>
          <w:rFonts w:hint="eastAsia" w:ascii="宋体" w:hAnsi="宋体" w:cs="宋体"/>
          <w:sz w:val="21"/>
          <w:szCs w:val="21"/>
          <w:lang w:bidi="ar"/>
        </w:rPr>
        <w:t>书面催告后15日内仍未履行的；</w:t>
      </w:r>
    </w:p>
    <w:p w14:paraId="087B99CC">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（2）监理人违反本合同第2.1条约定，未经</w:t>
      </w:r>
      <w:r>
        <w:rPr>
          <w:rFonts w:hint="eastAsia" w:ascii="宋体" w:hAnsi="宋体" w:cs="宋体"/>
          <w:sz w:val="21"/>
          <w:szCs w:val="21"/>
          <w:lang w:val="en-US" w:eastAsia="zh-CN" w:bidi="ar"/>
        </w:rPr>
        <w:t>委托人</w:t>
      </w:r>
      <w:r>
        <w:rPr>
          <w:rFonts w:hint="eastAsia" w:ascii="宋体" w:hAnsi="宋体" w:cs="宋体"/>
          <w:sz w:val="21"/>
          <w:szCs w:val="21"/>
          <w:lang w:bidi="ar"/>
        </w:rPr>
        <w:t>书面批准擅自行使重大事项审批权，造成</w:t>
      </w:r>
      <w:r>
        <w:rPr>
          <w:rFonts w:hint="eastAsia" w:ascii="宋体" w:hAnsi="宋体" w:cs="宋体"/>
          <w:sz w:val="21"/>
          <w:szCs w:val="21"/>
          <w:lang w:val="en-US" w:eastAsia="zh-CN" w:bidi="ar"/>
        </w:rPr>
        <w:t>委托人</w:t>
      </w:r>
      <w:r>
        <w:rPr>
          <w:rFonts w:hint="eastAsia" w:ascii="宋体" w:hAnsi="宋体" w:cs="宋体"/>
          <w:sz w:val="21"/>
          <w:szCs w:val="21"/>
          <w:lang w:bidi="ar"/>
        </w:rPr>
        <w:t>损失或项目风险的；</w:t>
      </w:r>
    </w:p>
    <w:p w14:paraId="08C7E754">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（3）监理人派驻的总监理工程师或专业监理工程师未经</w:t>
      </w:r>
      <w:r>
        <w:rPr>
          <w:rFonts w:hint="eastAsia" w:ascii="宋体" w:hAnsi="宋体" w:cs="宋体"/>
          <w:sz w:val="21"/>
          <w:szCs w:val="21"/>
          <w:lang w:val="en-US" w:eastAsia="zh-CN" w:bidi="ar"/>
        </w:rPr>
        <w:t>委托人</w:t>
      </w:r>
      <w:r>
        <w:rPr>
          <w:rFonts w:hint="eastAsia" w:ascii="宋体" w:hAnsi="宋体" w:cs="宋体"/>
          <w:sz w:val="21"/>
          <w:szCs w:val="21"/>
          <w:lang w:bidi="ar"/>
        </w:rPr>
        <w:t>书面同意擅自更换，或实际到岗人员与报价文件承诺不一致，经</w:t>
      </w:r>
      <w:r>
        <w:rPr>
          <w:rFonts w:hint="eastAsia" w:ascii="宋体" w:hAnsi="宋体" w:cs="宋体"/>
          <w:sz w:val="21"/>
          <w:szCs w:val="21"/>
          <w:lang w:val="en-US" w:eastAsia="zh-CN" w:bidi="ar"/>
        </w:rPr>
        <w:t>委托人</w:t>
      </w:r>
      <w:r>
        <w:rPr>
          <w:rFonts w:hint="eastAsia" w:ascii="宋体" w:hAnsi="宋体" w:cs="宋体"/>
          <w:sz w:val="21"/>
          <w:szCs w:val="21"/>
          <w:lang w:bidi="ar"/>
        </w:rPr>
        <w:t>要求后15日内仍未整改的；</w:t>
      </w:r>
    </w:p>
    <w:p w14:paraId="7802282D">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（4）监理人审核确认的工程量与造价审计部门审核结果误差超过±6%，累计达三次以上的；</w:t>
      </w:r>
    </w:p>
    <w:p w14:paraId="05CC3C10">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（5）监理人在工程质量、安全管理、环境保护等方面存在重大失职，被县级以上建设行政主管部门通报批评或行政处罚的；</w:t>
      </w:r>
    </w:p>
    <w:p w14:paraId="0728F314">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（6）监理人与施工单位串通，虚报、冒报工程量或出具虚假签证的；</w:t>
      </w:r>
    </w:p>
    <w:p w14:paraId="11565E48">
      <w:pPr>
        <w:pStyle w:val="43"/>
        <w:numPr>
          <w:ilvl w:val="-1"/>
          <w:numId w:val="0"/>
        </w:numPr>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法律、法规或本合同约定的其他解除情形。</w:t>
      </w:r>
    </w:p>
    <w:p w14:paraId="1CB5B4CC">
      <w:pPr>
        <w:pStyle w:val="43"/>
        <w:adjustRightInd w:val="0"/>
        <w:snapToGrid w:val="0"/>
        <w:spacing w:before="160" w:beforeLines="50" w:after="160" w:afterLines="50" w:line="360" w:lineRule="auto"/>
        <w:ind w:firstLine="420" w:firstLineChars="200"/>
        <w:rPr>
          <w:rFonts w:hint="eastAsia" w:ascii="宋体" w:hAnsi="宋体" w:eastAsia="宋体" w:cs="宋体"/>
          <w:sz w:val="21"/>
          <w:szCs w:val="21"/>
          <w:lang w:val="en-US" w:eastAsia="zh-CN" w:bidi="ar"/>
        </w:rPr>
      </w:pPr>
      <w:r>
        <w:rPr>
          <w:rFonts w:hint="eastAsia" w:ascii="宋体" w:hAnsi="宋体" w:cs="宋体"/>
          <w:sz w:val="21"/>
          <w:szCs w:val="21"/>
          <w:lang w:val="en-US" w:eastAsia="zh-CN" w:bidi="ar"/>
        </w:rPr>
        <w:t xml:space="preserve">12.1.2 </w:t>
      </w:r>
      <w:r>
        <w:rPr>
          <w:rFonts w:hint="eastAsia" w:ascii="宋体" w:hAnsi="宋体" w:cs="宋体"/>
          <w:szCs w:val="21"/>
          <w:lang w:val="en-US" w:eastAsia="zh-CN" w:bidi="ar"/>
        </w:rPr>
        <w:t>合同履行期间，委托人可根据项目资金、建设情况或政府原因，有权单方终止合同且不承担违约责任。</w:t>
      </w:r>
    </w:p>
    <w:p w14:paraId="2DD8A0FC">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12.2 解除后的违约责任</w:t>
      </w:r>
    </w:p>
    <w:p w14:paraId="6AA4A901">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本合同因监理人违约被</w:t>
      </w:r>
      <w:r>
        <w:rPr>
          <w:rFonts w:hint="eastAsia" w:ascii="宋体" w:hAnsi="宋体" w:cs="宋体"/>
          <w:sz w:val="21"/>
          <w:szCs w:val="21"/>
          <w:lang w:val="en-US" w:eastAsia="zh-CN" w:bidi="ar"/>
        </w:rPr>
        <w:t>委托人</w:t>
      </w:r>
      <w:r>
        <w:rPr>
          <w:rFonts w:hint="eastAsia" w:ascii="宋体" w:hAnsi="宋体" w:cs="宋体"/>
          <w:sz w:val="21"/>
          <w:szCs w:val="21"/>
          <w:lang w:bidi="ar"/>
        </w:rPr>
        <w:t>依据第12.1条解</w:t>
      </w:r>
      <w:r>
        <w:rPr>
          <w:rFonts w:hint="eastAsia" w:ascii="宋体" w:hAnsi="宋体" w:cs="宋体"/>
          <w:sz w:val="21"/>
          <w:szCs w:val="21"/>
          <w:lang w:eastAsia="zh-CN" w:bidi="ar"/>
        </w:rPr>
        <w:t>】</w:t>
      </w:r>
      <w:r>
        <w:rPr>
          <w:rFonts w:hint="eastAsia" w:ascii="宋体" w:hAnsi="宋体" w:cs="宋体"/>
          <w:sz w:val="21"/>
          <w:szCs w:val="21"/>
          <w:lang w:bidi="ar"/>
        </w:rPr>
        <w:t>除的，监理人应当同时承担以下责任：</w:t>
      </w:r>
    </w:p>
    <w:p w14:paraId="49F473D0">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（1）自合同解除之日起10日内，无条件全额退还</w:t>
      </w:r>
      <w:r>
        <w:rPr>
          <w:rFonts w:hint="eastAsia" w:ascii="宋体" w:hAnsi="宋体" w:cs="宋体"/>
          <w:sz w:val="21"/>
          <w:szCs w:val="21"/>
          <w:lang w:val="en-US" w:eastAsia="zh-CN" w:bidi="ar"/>
        </w:rPr>
        <w:t>委托人</w:t>
      </w:r>
      <w:r>
        <w:rPr>
          <w:rFonts w:hint="eastAsia" w:ascii="宋体" w:hAnsi="宋体" w:cs="宋体"/>
          <w:sz w:val="21"/>
          <w:szCs w:val="21"/>
          <w:lang w:bidi="ar"/>
        </w:rPr>
        <w:t>已支付的全部款项（包括预付款、进度款等），并按本合同第11.1条第（1）项标准支付资金占用期间的逾期违约金；</w:t>
      </w:r>
    </w:p>
    <w:p w14:paraId="420BD458">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（2）向</w:t>
      </w:r>
      <w:r>
        <w:rPr>
          <w:rFonts w:hint="eastAsia" w:ascii="宋体" w:hAnsi="宋体" w:cs="宋体"/>
          <w:sz w:val="21"/>
          <w:szCs w:val="21"/>
          <w:lang w:val="en-US" w:eastAsia="zh-CN" w:bidi="ar"/>
        </w:rPr>
        <w:t>委托人</w:t>
      </w:r>
      <w:r>
        <w:rPr>
          <w:rFonts w:hint="eastAsia" w:ascii="宋体" w:hAnsi="宋体" w:cs="宋体"/>
          <w:sz w:val="21"/>
          <w:szCs w:val="21"/>
          <w:lang w:bidi="ar"/>
        </w:rPr>
        <w:t>支付相当于本合同暂定监理酬金总额20%（百分之二十）的违约金；</w:t>
      </w:r>
    </w:p>
    <w:p w14:paraId="5ADE0F61">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（3）继续履行本合同项下其他违约责任，包括但不限于赔偿</w:t>
      </w:r>
      <w:r>
        <w:rPr>
          <w:rFonts w:hint="eastAsia" w:ascii="宋体" w:hAnsi="宋体" w:cs="宋体"/>
          <w:sz w:val="21"/>
          <w:szCs w:val="21"/>
          <w:lang w:val="en-US" w:eastAsia="zh-CN" w:bidi="ar"/>
        </w:rPr>
        <w:t>委托人</w:t>
      </w:r>
      <w:r>
        <w:rPr>
          <w:rFonts w:hint="eastAsia" w:ascii="宋体" w:hAnsi="宋体" w:cs="宋体"/>
          <w:sz w:val="21"/>
          <w:szCs w:val="21"/>
          <w:lang w:bidi="ar"/>
        </w:rPr>
        <w:t>因此遭受的全部实际损失（含直接损失、预期利益损失、工期延误损失、向第三方承担的违约金或赔偿金等）、承担</w:t>
      </w:r>
      <w:r>
        <w:rPr>
          <w:rFonts w:hint="eastAsia" w:ascii="宋体" w:hAnsi="宋体" w:cs="宋体"/>
          <w:sz w:val="21"/>
          <w:szCs w:val="21"/>
          <w:lang w:val="en-US" w:eastAsia="zh-CN" w:bidi="ar"/>
        </w:rPr>
        <w:t>委托人</w:t>
      </w:r>
      <w:r>
        <w:rPr>
          <w:rFonts w:hint="eastAsia" w:ascii="宋体" w:hAnsi="宋体" w:cs="宋体"/>
          <w:sz w:val="21"/>
          <w:szCs w:val="21"/>
          <w:lang w:bidi="ar"/>
        </w:rPr>
        <w:t>为实现债权而支出的律师费、诉讼费、仲裁费、调查取证费、差旅费、保全费、保全保险费、公证费、评估费等全部维权费用，以及继续履行保密义务、资料移交义务等附随义务。</w:t>
      </w:r>
    </w:p>
    <w:p w14:paraId="1400ED29">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12.3 责任竞合处理</w:t>
      </w:r>
    </w:p>
    <w:p w14:paraId="396BA7AE">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r>
        <w:rPr>
          <w:rFonts w:hint="eastAsia" w:ascii="宋体" w:hAnsi="宋体" w:cs="宋体"/>
          <w:sz w:val="21"/>
          <w:szCs w:val="21"/>
          <w:lang w:bidi="ar"/>
        </w:rPr>
        <w:t>本条约定的违约金与赔偿损失责任可以同时适用。</w:t>
      </w:r>
      <w:r>
        <w:rPr>
          <w:rFonts w:hint="eastAsia" w:ascii="宋体" w:hAnsi="宋体" w:cs="宋体"/>
          <w:sz w:val="21"/>
          <w:szCs w:val="21"/>
          <w:lang w:val="en-US" w:eastAsia="zh-CN" w:bidi="ar"/>
        </w:rPr>
        <w:t>委托人</w:t>
      </w:r>
      <w:r>
        <w:rPr>
          <w:rFonts w:hint="eastAsia" w:ascii="宋体" w:hAnsi="宋体" w:cs="宋体"/>
          <w:sz w:val="21"/>
          <w:szCs w:val="21"/>
          <w:lang w:bidi="ar"/>
        </w:rPr>
        <w:t>依据本条主张的权利，不影响其依据本合同其他条款或法律规定享有的其他权利。</w:t>
      </w:r>
    </w:p>
    <w:p w14:paraId="720C8889">
      <w:pPr>
        <w:pStyle w:val="43"/>
        <w:adjustRightInd w:val="0"/>
        <w:snapToGrid w:val="0"/>
        <w:spacing w:before="160" w:beforeLines="50" w:after="160" w:afterLines="50" w:line="360" w:lineRule="auto"/>
        <w:ind w:firstLine="420" w:firstLineChars="200"/>
        <w:rPr>
          <w:rFonts w:hint="eastAsia" w:ascii="宋体" w:hAnsi="宋体" w:cs="宋体"/>
          <w:sz w:val="21"/>
          <w:szCs w:val="21"/>
          <w:lang w:bidi="ar"/>
        </w:rPr>
      </w:pPr>
    </w:p>
    <w:p w14:paraId="65DEF72A">
      <w:pPr>
        <w:pStyle w:val="43"/>
        <w:adjustRightInd w:val="0"/>
        <w:snapToGrid w:val="0"/>
        <w:spacing w:line="360" w:lineRule="auto"/>
        <w:ind w:firstLine="240" w:firstLineChars="100"/>
        <w:rPr>
          <w:rFonts w:ascii="宋体" w:hAnsi="宋体" w:cs="宋体"/>
          <w:sz w:val="24"/>
          <w:szCs w:val="24"/>
        </w:rPr>
      </w:pPr>
    </w:p>
    <w:p w14:paraId="35BCE8CA">
      <w:pPr>
        <w:pStyle w:val="43"/>
        <w:adjustRightInd w:val="0"/>
        <w:snapToGrid w:val="0"/>
        <w:spacing w:line="360" w:lineRule="auto"/>
        <w:ind w:firstLine="240" w:firstLineChars="100"/>
        <w:rPr>
          <w:rFonts w:ascii="宋体" w:hAnsi="宋体" w:cs="宋体"/>
          <w:sz w:val="24"/>
          <w:szCs w:val="24"/>
          <w:lang w:bidi="ar"/>
        </w:rPr>
      </w:pPr>
      <w:r>
        <w:rPr>
          <w:rFonts w:hint="eastAsia" w:ascii="宋体" w:hAnsi="宋体" w:cs="宋体"/>
          <w:sz w:val="24"/>
          <w:szCs w:val="24"/>
          <w:lang w:bidi="ar"/>
        </w:rPr>
        <w:t xml:space="preserve"> </w:t>
      </w:r>
    </w:p>
    <w:p w14:paraId="2B3B61C1">
      <w:pPr>
        <w:pStyle w:val="43"/>
        <w:adjustRightInd w:val="0"/>
        <w:snapToGrid w:val="0"/>
        <w:spacing w:line="360" w:lineRule="auto"/>
        <w:ind w:firstLine="240" w:firstLineChars="100"/>
        <w:rPr>
          <w:rFonts w:ascii="宋体" w:hAnsi="宋体" w:cs="宋体"/>
          <w:sz w:val="24"/>
          <w:szCs w:val="24"/>
          <w:lang w:bidi="ar"/>
        </w:rPr>
      </w:pPr>
    </w:p>
    <w:p w14:paraId="2021F0D2">
      <w:pPr>
        <w:pStyle w:val="43"/>
        <w:adjustRightInd w:val="0"/>
        <w:snapToGrid w:val="0"/>
        <w:spacing w:line="360" w:lineRule="auto"/>
        <w:ind w:firstLine="240" w:firstLineChars="100"/>
        <w:rPr>
          <w:rFonts w:ascii="宋体" w:hAnsi="宋体" w:cs="宋体"/>
          <w:sz w:val="24"/>
          <w:szCs w:val="24"/>
          <w:lang w:bidi="ar"/>
        </w:rPr>
      </w:pPr>
    </w:p>
    <w:p w14:paraId="51207B9C">
      <w:pPr>
        <w:pStyle w:val="43"/>
        <w:adjustRightInd w:val="0"/>
        <w:snapToGrid w:val="0"/>
        <w:spacing w:line="360" w:lineRule="auto"/>
        <w:ind w:firstLine="240" w:firstLineChars="100"/>
        <w:rPr>
          <w:rFonts w:ascii="宋体" w:hAnsi="宋体" w:cs="宋体"/>
          <w:sz w:val="24"/>
          <w:szCs w:val="24"/>
          <w:lang w:bidi="ar"/>
        </w:rPr>
      </w:pPr>
    </w:p>
    <w:p w14:paraId="6632E8E9">
      <w:pPr>
        <w:pStyle w:val="43"/>
        <w:adjustRightInd w:val="0"/>
        <w:snapToGrid w:val="0"/>
        <w:spacing w:line="360" w:lineRule="auto"/>
        <w:ind w:firstLine="240" w:firstLineChars="100"/>
        <w:rPr>
          <w:rFonts w:ascii="宋体" w:hAnsi="宋体" w:cs="宋体"/>
          <w:sz w:val="24"/>
          <w:szCs w:val="24"/>
          <w:lang w:bidi="ar"/>
        </w:rPr>
      </w:pPr>
    </w:p>
    <w:p w14:paraId="60EF44CD">
      <w:pPr>
        <w:pStyle w:val="43"/>
        <w:adjustRightInd w:val="0"/>
        <w:snapToGrid w:val="0"/>
        <w:spacing w:line="360" w:lineRule="auto"/>
        <w:ind w:firstLine="0" w:firstLineChars="0"/>
        <w:rPr>
          <w:rFonts w:ascii="宋体" w:hAnsi="宋体" w:cs="宋体"/>
          <w:sz w:val="24"/>
          <w:szCs w:val="24"/>
        </w:rPr>
      </w:pPr>
    </w:p>
    <w:p w14:paraId="562F5AC4">
      <w:pPr>
        <w:pStyle w:val="42"/>
        <w:widowControl/>
        <w:jc w:val="center"/>
        <w:rPr>
          <w:rFonts w:cs="黑体"/>
          <w:bCs w:val="0"/>
          <w:sz w:val="24"/>
          <w:szCs w:val="24"/>
        </w:rPr>
      </w:pPr>
      <w:bookmarkStart w:id="16" w:name="_Toc256000107"/>
      <w:r>
        <w:rPr>
          <w:rFonts w:hint="eastAsia" w:ascii="黑体" w:hAnsi="宋体" w:cs="黑体"/>
          <w:bCs w:val="0"/>
          <w:sz w:val="24"/>
          <w:szCs w:val="24"/>
        </w:rPr>
        <w:t>附录</w:t>
      </w:r>
      <w:r>
        <w:rPr>
          <w:rFonts w:cs="Arial"/>
          <w:bCs w:val="0"/>
          <w:sz w:val="24"/>
          <w:szCs w:val="24"/>
        </w:rPr>
        <w:t xml:space="preserve">A  </w:t>
      </w:r>
      <w:r>
        <w:rPr>
          <w:rFonts w:hint="eastAsia" w:ascii="黑体" w:hAnsi="宋体" w:cs="黑体"/>
          <w:bCs w:val="0"/>
          <w:sz w:val="24"/>
          <w:szCs w:val="24"/>
        </w:rPr>
        <w:t>相关服务的范围和内容</w:t>
      </w:r>
      <w:bookmarkEnd w:id="16"/>
    </w:p>
    <w:p w14:paraId="71B9F96D">
      <w:pPr>
        <w:pStyle w:val="43"/>
        <w:snapToGrid w:val="0"/>
        <w:spacing w:before="160" w:beforeLines="50" w:after="160" w:afterLines="50" w:line="360" w:lineRule="auto"/>
        <w:rPr>
          <w:rFonts w:ascii="宋体" w:hAnsi="宋体" w:cs="宋体"/>
          <w:kern w:val="0"/>
          <w:szCs w:val="21"/>
        </w:rPr>
      </w:pPr>
      <w:r>
        <w:rPr>
          <w:rFonts w:hint="eastAsia" w:ascii="宋体" w:hAnsi="宋体" w:cs="宋体"/>
          <w:kern w:val="0"/>
          <w:szCs w:val="21"/>
          <w:lang w:bidi="ar"/>
        </w:rPr>
        <w:t xml:space="preserve">        A-1 保修阶段：</w:t>
      </w:r>
      <w:r>
        <w:rPr>
          <w:rFonts w:hint="eastAsia" w:ascii="宋体" w:hAnsi="宋体" w:cs="宋体"/>
          <w:szCs w:val="21"/>
          <w:u w:val="single"/>
          <w:lang w:bidi="ar"/>
        </w:rPr>
        <w:t xml:space="preserve">                           </w:t>
      </w:r>
      <w:r>
        <w:rPr>
          <w:rFonts w:ascii="宋体" w:hAnsi="宋体" w:cs="宋体"/>
          <w:szCs w:val="21"/>
          <w:u w:val="single"/>
          <w:lang w:bidi="ar"/>
        </w:rPr>
        <w:t>/</w:t>
      </w:r>
      <w:r>
        <w:rPr>
          <w:rFonts w:hint="eastAsia" w:ascii="宋体" w:hAnsi="宋体" w:cs="宋体"/>
          <w:szCs w:val="21"/>
          <w:u w:val="single"/>
          <w:lang w:bidi="ar"/>
        </w:rPr>
        <w:t xml:space="preserve">                                  </w:t>
      </w:r>
    </w:p>
    <w:p w14:paraId="06A2BDD7">
      <w:pPr>
        <w:pStyle w:val="43"/>
        <w:snapToGrid w:val="0"/>
        <w:spacing w:before="160" w:beforeLines="50" w:after="160" w:afterLines="50" w:line="360" w:lineRule="auto"/>
        <w:rPr>
          <w:rFonts w:ascii="宋体" w:hAnsi="宋体" w:cs="宋体"/>
          <w:szCs w:val="21"/>
        </w:rPr>
      </w:pPr>
      <w:r>
        <w:rPr>
          <w:rFonts w:hint="eastAsia" w:ascii="宋体" w:hAnsi="宋体" w:cs="宋体"/>
          <w:szCs w:val="21"/>
          <w:u w:val="single"/>
          <w:lang w:bidi="ar"/>
        </w:rPr>
        <w:t xml:space="preserve">                                              </w:t>
      </w:r>
      <w:r>
        <w:rPr>
          <w:rFonts w:hint="eastAsia" w:ascii="宋体" w:hAnsi="宋体" w:cs="宋体"/>
          <w:szCs w:val="21"/>
          <w:lang w:bidi="ar"/>
        </w:rPr>
        <w:t>。</w:t>
      </w:r>
    </w:p>
    <w:p w14:paraId="2C59A285">
      <w:pPr>
        <w:pStyle w:val="43"/>
        <w:snapToGrid w:val="0"/>
        <w:spacing w:before="160" w:beforeLines="50" w:after="160" w:afterLines="50" w:line="360" w:lineRule="auto"/>
        <w:ind w:firstLine="840" w:firstLineChars="400"/>
        <w:rPr>
          <w:rFonts w:ascii="宋体" w:hAnsi="宋体" w:cs="宋体"/>
          <w:szCs w:val="21"/>
          <w:u w:val="single"/>
        </w:rPr>
      </w:pPr>
      <w:r>
        <w:rPr>
          <w:rFonts w:hint="eastAsia" w:ascii="宋体" w:hAnsi="宋体" w:cs="宋体"/>
          <w:kern w:val="0"/>
          <w:szCs w:val="21"/>
          <w:lang w:bidi="ar"/>
        </w:rPr>
        <w:t xml:space="preserve">A-2 </w:t>
      </w:r>
      <w:r>
        <w:rPr>
          <w:rFonts w:hint="eastAsia" w:ascii="宋体" w:hAnsi="宋体" w:cs="宋体"/>
          <w:szCs w:val="21"/>
          <w:lang w:bidi="ar"/>
        </w:rPr>
        <w:t>其他（专业技术咨询、外部协调工作等）：</w:t>
      </w:r>
      <w:r>
        <w:rPr>
          <w:rFonts w:hint="eastAsia" w:ascii="宋体" w:hAnsi="宋体" w:cs="宋体"/>
          <w:szCs w:val="21"/>
          <w:u w:val="single"/>
          <w:lang w:bidi="ar"/>
        </w:rPr>
        <w:t xml:space="preserve">                 </w:t>
      </w:r>
      <w:r>
        <w:rPr>
          <w:rFonts w:ascii="宋体" w:hAnsi="宋体" w:cs="宋体"/>
          <w:szCs w:val="21"/>
          <w:u w:val="single"/>
          <w:lang w:bidi="ar"/>
        </w:rPr>
        <w:t>/</w:t>
      </w:r>
      <w:r>
        <w:rPr>
          <w:rFonts w:hint="eastAsia" w:ascii="宋体" w:hAnsi="宋体" w:cs="宋体"/>
          <w:szCs w:val="21"/>
          <w:u w:val="single"/>
          <w:lang w:bidi="ar"/>
        </w:rPr>
        <w:t xml:space="preserve">                 </w:t>
      </w:r>
    </w:p>
    <w:p w14:paraId="05BC91C0">
      <w:pPr>
        <w:pStyle w:val="43"/>
        <w:snapToGrid w:val="0"/>
        <w:spacing w:before="160" w:beforeLines="50" w:after="160" w:afterLines="50" w:line="360" w:lineRule="auto"/>
        <w:rPr>
          <w:rFonts w:ascii="宋体" w:hAnsi="宋体" w:cs="宋体"/>
          <w:szCs w:val="21"/>
        </w:rPr>
      </w:pPr>
      <w:r>
        <w:rPr>
          <w:rFonts w:hint="eastAsia" w:ascii="宋体" w:hAnsi="宋体" w:cs="宋体"/>
          <w:szCs w:val="21"/>
          <w:u w:val="single"/>
          <w:lang w:bidi="ar"/>
        </w:rPr>
        <w:t xml:space="preserve">                                              </w:t>
      </w:r>
      <w:r>
        <w:rPr>
          <w:rFonts w:hint="eastAsia" w:ascii="宋体" w:hAnsi="宋体" w:cs="宋体"/>
          <w:szCs w:val="21"/>
          <w:lang w:bidi="ar"/>
        </w:rPr>
        <w:t>。</w:t>
      </w:r>
    </w:p>
    <w:p w14:paraId="2E302687">
      <w:pPr>
        <w:pStyle w:val="43"/>
        <w:spacing w:line="360" w:lineRule="auto"/>
        <w:rPr>
          <w:rFonts w:ascii="宋体" w:hAnsi="宋体" w:cs="宋体"/>
          <w:bCs/>
          <w:sz w:val="24"/>
          <w:szCs w:val="24"/>
        </w:rPr>
      </w:pPr>
      <w:r>
        <w:rPr>
          <w:rFonts w:hint="eastAsia" w:ascii="宋体" w:hAnsi="宋体" w:cs="宋体"/>
          <w:bCs/>
          <w:sz w:val="24"/>
          <w:szCs w:val="24"/>
          <w:lang w:bidi="ar"/>
        </w:rPr>
        <w:t xml:space="preserve"> </w:t>
      </w:r>
    </w:p>
    <w:p w14:paraId="0842D03B">
      <w:pPr>
        <w:pStyle w:val="42"/>
        <w:widowControl/>
        <w:jc w:val="center"/>
        <w:rPr>
          <w:rFonts w:cs="黑体"/>
          <w:bCs w:val="0"/>
          <w:sz w:val="24"/>
          <w:szCs w:val="24"/>
        </w:rPr>
      </w:pPr>
      <w:bookmarkStart w:id="17" w:name="_Toc256000108"/>
      <w:r>
        <w:rPr>
          <w:rFonts w:hint="eastAsia" w:ascii="黑体" w:hAnsi="宋体" w:cs="黑体"/>
          <w:bCs w:val="0"/>
          <w:sz w:val="24"/>
          <w:szCs w:val="24"/>
        </w:rPr>
        <w:t>附录</w:t>
      </w:r>
      <w:r>
        <w:rPr>
          <w:rFonts w:cs="Arial"/>
          <w:bCs w:val="0"/>
          <w:sz w:val="24"/>
          <w:szCs w:val="24"/>
        </w:rPr>
        <w:t xml:space="preserve">B  </w:t>
      </w:r>
      <w:r>
        <w:rPr>
          <w:rFonts w:hint="eastAsia" w:ascii="黑体" w:hAnsi="宋体" w:cs="黑体"/>
          <w:bCs w:val="0"/>
          <w:sz w:val="24"/>
          <w:szCs w:val="24"/>
        </w:rPr>
        <w:t>委托人派遣的人员和提供的房屋、资料、设备</w:t>
      </w:r>
      <w:bookmarkEnd w:id="17"/>
    </w:p>
    <w:p w14:paraId="063B09FB">
      <w:pPr>
        <w:pStyle w:val="43"/>
        <w:spacing w:before="160" w:beforeLines="50" w:after="160" w:afterLines="50" w:line="360" w:lineRule="auto"/>
        <w:outlineLvl w:val="0"/>
        <w:rPr>
          <w:rFonts w:ascii="宋体" w:hAnsi="宋体" w:cs="宋体"/>
          <w:b/>
          <w:kern w:val="0"/>
          <w:szCs w:val="21"/>
        </w:rPr>
      </w:pPr>
      <w:bookmarkStart w:id="18" w:name="_Toc256000109"/>
      <w:r>
        <w:rPr>
          <w:rFonts w:hint="eastAsia" w:ascii="宋体" w:hAnsi="宋体" w:cs="宋体"/>
          <w:b/>
          <w:kern w:val="0"/>
          <w:szCs w:val="21"/>
          <w:lang w:bidi="ar"/>
        </w:rPr>
        <w:t>B-1  委托人派遣的人员</w:t>
      </w:r>
      <w:bookmarkEnd w:id="18"/>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8"/>
        <w:gridCol w:w="1770"/>
        <w:gridCol w:w="2130"/>
        <w:gridCol w:w="1860"/>
      </w:tblGrid>
      <w:tr w14:paraId="12EDE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tcPr>
          <w:p w14:paraId="21FA8B8C">
            <w:pPr>
              <w:pStyle w:val="43"/>
              <w:spacing w:line="360" w:lineRule="auto"/>
              <w:jc w:val="center"/>
              <w:rPr>
                <w:rFonts w:ascii="宋体" w:hAnsi="宋体" w:cs="宋体"/>
                <w:szCs w:val="21"/>
              </w:rPr>
            </w:pPr>
            <w:r>
              <w:rPr>
                <w:rFonts w:hint="eastAsia" w:ascii="宋体" w:hAnsi="宋体" w:cs="宋体"/>
                <w:szCs w:val="21"/>
                <w:lang w:bidi="ar"/>
              </w:rPr>
              <w:t>名称</w:t>
            </w:r>
          </w:p>
        </w:tc>
        <w:tc>
          <w:tcPr>
            <w:tcW w:w="1770" w:type="dxa"/>
            <w:tcBorders>
              <w:top w:val="single" w:color="auto" w:sz="4" w:space="0"/>
              <w:left w:val="single" w:color="auto" w:sz="4" w:space="0"/>
              <w:bottom w:val="single" w:color="auto" w:sz="4" w:space="0"/>
              <w:right w:val="single" w:color="auto" w:sz="4" w:space="0"/>
            </w:tcBorders>
          </w:tcPr>
          <w:p w14:paraId="23C83787">
            <w:pPr>
              <w:pStyle w:val="43"/>
              <w:spacing w:line="360" w:lineRule="auto"/>
              <w:jc w:val="center"/>
              <w:rPr>
                <w:rFonts w:ascii="宋体" w:hAnsi="宋体" w:cs="宋体"/>
                <w:szCs w:val="21"/>
              </w:rPr>
            </w:pPr>
            <w:r>
              <w:rPr>
                <w:rFonts w:hint="eastAsia" w:ascii="宋体" w:hAnsi="宋体" w:cs="宋体"/>
                <w:szCs w:val="21"/>
                <w:lang w:bidi="ar"/>
              </w:rPr>
              <w:t>数量</w:t>
            </w:r>
          </w:p>
        </w:tc>
        <w:tc>
          <w:tcPr>
            <w:tcW w:w="2130" w:type="dxa"/>
            <w:tcBorders>
              <w:top w:val="single" w:color="auto" w:sz="4" w:space="0"/>
              <w:left w:val="single" w:color="auto" w:sz="4" w:space="0"/>
              <w:bottom w:val="single" w:color="auto" w:sz="4" w:space="0"/>
              <w:right w:val="single" w:color="auto" w:sz="4" w:space="0"/>
            </w:tcBorders>
          </w:tcPr>
          <w:p w14:paraId="5306FC53">
            <w:pPr>
              <w:pStyle w:val="43"/>
              <w:spacing w:line="360" w:lineRule="auto"/>
              <w:jc w:val="center"/>
              <w:rPr>
                <w:rFonts w:ascii="宋体" w:hAnsi="宋体" w:cs="宋体"/>
                <w:szCs w:val="21"/>
              </w:rPr>
            </w:pPr>
            <w:r>
              <w:rPr>
                <w:rFonts w:hint="eastAsia" w:ascii="宋体" w:hAnsi="宋体" w:cs="宋体"/>
                <w:szCs w:val="21"/>
                <w:lang w:bidi="ar"/>
              </w:rPr>
              <w:t>工作要求</w:t>
            </w:r>
          </w:p>
        </w:tc>
        <w:tc>
          <w:tcPr>
            <w:tcW w:w="1860" w:type="dxa"/>
            <w:tcBorders>
              <w:top w:val="single" w:color="auto" w:sz="4" w:space="0"/>
              <w:left w:val="single" w:color="auto" w:sz="4" w:space="0"/>
              <w:bottom w:val="single" w:color="auto" w:sz="4" w:space="0"/>
              <w:right w:val="single" w:color="auto" w:sz="4" w:space="0"/>
            </w:tcBorders>
          </w:tcPr>
          <w:p w14:paraId="4E0AE487">
            <w:pPr>
              <w:pStyle w:val="43"/>
              <w:spacing w:line="360" w:lineRule="auto"/>
              <w:jc w:val="center"/>
              <w:rPr>
                <w:rFonts w:ascii="宋体" w:hAnsi="宋体" w:cs="宋体"/>
                <w:szCs w:val="21"/>
              </w:rPr>
            </w:pPr>
            <w:r>
              <w:rPr>
                <w:rFonts w:hint="eastAsia" w:ascii="宋体" w:hAnsi="宋体" w:cs="宋体"/>
                <w:szCs w:val="21"/>
                <w:lang w:bidi="ar"/>
              </w:rPr>
              <w:t>提供时间</w:t>
            </w:r>
          </w:p>
        </w:tc>
      </w:tr>
      <w:tr w14:paraId="736FE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tcPr>
          <w:p w14:paraId="4C315617">
            <w:pPr>
              <w:pStyle w:val="43"/>
              <w:spacing w:line="360" w:lineRule="auto"/>
              <w:rPr>
                <w:rFonts w:ascii="宋体" w:hAnsi="宋体" w:cs="宋体"/>
                <w:szCs w:val="21"/>
              </w:rPr>
            </w:pPr>
            <w:r>
              <w:rPr>
                <w:rFonts w:hint="eastAsia" w:ascii="宋体" w:hAnsi="宋体" w:cs="宋体"/>
                <w:szCs w:val="21"/>
                <w:lang w:bidi="ar"/>
              </w:rPr>
              <w:t>1. 工程技术人员</w:t>
            </w:r>
          </w:p>
        </w:tc>
        <w:tc>
          <w:tcPr>
            <w:tcW w:w="1770" w:type="dxa"/>
            <w:tcBorders>
              <w:top w:val="single" w:color="auto" w:sz="4" w:space="0"/>
              <w:left w:val="single" w:color="auto" w:sz="4" w:space="0"/>
              <w:bottom w:val="single" w:color="auto" w:sz="4" w:space="0"/>
              <w:right w:val="single" w:color="auto" w:sz="4" w:space="0"/>
            </w:tcBorders>
          </w:tcPr>
          <w:p w14:paraId="1BC0A0E6">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tcPr>
          <w:p w14:paraId="47E96AA6">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tcPr>
          <w:p w14:paraId="60AD4D00">
            <w:pPr>
              <w:pStyle w:val="43"/>
              <w:spacing w:line="360" w:lineRule="auto"/>
              <w:rPr>
                <w:rFonts w:ascii="宋体" w:hAnsi="宋体" w:cs="宋体"/>
                <w:szCs w:val="21"/>
              </w:rPr>
            </w:pPr>
            <w:r>
              <w:rPr>
                <w:rFonts w:hint="eastAsia" w:ascii="宋体" w:hAnsi="宋体" w:cs="宋体"/>
                <w:szCs w:val="21"/>
              </w:rPr>
              <w:t>/</w:t>
            </w:r>
          </w:p>
        </w:tc>
      </w:tr>
      <w:tr w14:paraId="4611D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tcPr>
          <w:p w14:paraId="27BE2853">
            <w:pPr>
              <w:pStyle w:val="43"/>
              <w:spacing w:line="360" w:lineRule="auto"/>
              <w:rPr>
                <w:rFonts w:ascii="宋体" w:hAnsi="宋体" w:cs="宋体"/>
                <w:szCs w:val="21"/>
              </w:rPr>
            </w:pPr>
            <w:r>
              <w:rPr>
                <w:rFonts w:hint="eastAsia" w:ascii="宋体" w:hAnsi="宋体" w:cs="宋体"/>
                <w:szCs w:val="21"/>
                <w:lang w:bidi="ar"/>
              </w:rPr>
              <w:t>2. 辅助工作人员</w:t>
            </w:r>
          </w:p>
        </w:tc>
        <w:tc>
          <w:tcPr>
            <w:tcW w:w="1770" w:type="dxa"/>
            <w:tcBorders>
              <w:top w:val="single" w:color="auto" w:sz="4" w:space="0"/>
              <w:left w:val="single" w:color="auto" w:sz="4" w:space="0"/>
              <w:bottom w:val="single" w:color="auto" w:sz="4" w:space="0"/>
              <w:right w:val="single" w:color="auto" w:sz="4" w:space="0"/>
            </w:tcBorders>
          </w:tcPr>
          <w:p w14:paraId="451DCDF2">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tcPr>
          <w:p w14:paraId="237295EE">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tcPr>
          <w:p w14:paraId="7DEE9D34">
            <w:pPr>
              <w:pStyle w:val="43"/>
              <w:spacing w:line="360" w:lineRule="auto"/>
              <w:rPr>
                <w:rFonts w:ascii="宋体" w:hAnsi="宋体" w:cs="宋体"/>
                <w:szCs w:val="21"/>
              </w:rPr>
            </w:pPr>
            <w:r>
              <w:rPr>
                <w:rFonts w:hint="eastAsia" w:ascii="宋体" w:hAnsi="宋体" w:cs="宋体"/>
                <w:szCs w:val="21"/>
              </w:rPr>
              <w:t>/</w:t>
            </w:r>
          </w:p>
        </w:tc>
      </w:tr>
      <w:tr w14:paraId="2EAFA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tcPr>
          <w:p w14:paraId="35FC8324">
            <w:pPr>
              <w:pStyle w:val="43"/>
              <w:spacing w:line="360" w:lineRule="auto"/>
              <w:rPr>
                <w:rFonts w:ascii="宋体" w:hAnsi="宋体" w:cs="宋体"/>
                <w:szCs w:val="21"/>
              </w:rPr>
            </w:pPr>
            <w:r>
              <w:rPr>
                <w:rFonts w:hint="eastAsia" w:ascii="宋体" w:hAnsi="宋体" w:cs="宋体"/>
                <w:szCs w:val="21"/>
                <w:lang w:bidi="ar"/>
              </w:rPr>
              <w:t>3. 其他人员</w:t>
            </w:r>
          </w:p>
        </w:tc>
        <w:tc>
          <w:tcPr>
            <w:tcW w:w="1770" w:type="dxa"/>
            <w:tcBorders>
              <w:top w:val="single" w:color="auto" w:sz="4" w:space="0"/>
              <w:left w:val="single" w:color="auto" w:sz="4" w:space="0"/>
              <w:bottom w:val="single" w:color="auto" w:sz="4" w:space="0"/>
              <w:right w:val="single" w:color="auto" w:sz="4" w:space="0"/>
            </w:tcBorders>
          </w:tcPr>
          <w:p w14:paraId="333FC835">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tcPr>
          <w:p w14:paraId="30F061B6">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tcPr>
          <w:p w14:paraId="10E14F66">
            <w:pPr>
              <w:pStyle w:val="43"/>
              <w:spacing w:line="360" w:lineRule="auto"/>
              <w:rPr>
                <w:rFonts w:ascii="宋体" w:hAnsi="宋体" w:cs="宋体"/>
                <w:szCs w:val="21"/>
              </w:rPr>
            </w:pPr>
            <w:r>
              <w:rPr>
                <w:rFonts w:hint="eastAsia" w:ascii="宋体" w:hAnsi="宋体" w:cs="宋体"/>
                <w:szCs w:val="21"/>
              </w:rPr>
              <w:t>/</w:t>
            </w:r>
          </w:p>
        </w:tc>
      </w:tr>
      <w:tr w14:paraId="6EF95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tcPr>
          <w:p w14:paraId="24698C07">
            <w:pPr>
              <w:pStyle w:val="43"/>
              <w:spacing w:line="360" w:lineRule="auto"/>
              <w:rPr>
                <w:rFonts w:ascii="宋体" w:hAnsi="宋体" w:cs="宋体"/>
                <w:szCs w:val="21"/>
              </w:rPr>
            </w:pPr>
          </w:p>
        </w:tc>
        <w:tc>
          <w:tcPr>
            <w:tcW w:w="1770" w:type="dxa"/>
            <w:tcBorders>
              <w:top w:val="single" w:color="auto" w:sz="4" w:space="0"/>
              <w:left w:val="single" w:color="auto" w:sz="4" w:space="0"/>
              <w:bottom w:val="single" w:color="auto" w:sz="4" w:space="0"/>
              <w:right w:val="single" w:color="auto" w:sz="4" w:space="0"/>
            </w:tcBorders>
          </w:tcPr>
          <w:p w14:paraId="002DBFB0">
            <w:pPr>
              <w:pStyle w:val="43"/>
              <w:spacing w:line="360" w:lineRule="auto"/>
              <w:rPr>
                <w:rFonts w:ascii="宋体" w:hAnsi="宋体" w:cs="宋体"/>
                <w:szCs w:val="21"/>
              </w:rPr>
            </w:pPr>
          </w:p>
        </w:tc>
        <w:tc>
          <w:tcPr>
            <w:tcW w:w="2130" w:type="dxa"/>
            <w:tcBorders>
              <w:top w:val="single" w:color="auto" w:sz="4" w:space="0"/>
              <w:left w:val="single" w:color="auto" w:sz="4" w:space="0"/>
              <w:bottom w:val="single" w:color="auto" w:sz="4" w:space="0"/>
              <w:right w:val="single" w:color="auto" w:sz="4" w:space="0"/>
            </w:tcBorders>
          </w:tcPr>
          <w:p w14:paraId="761F7FED">
            <w:pPr>
              <w:pStyle w:val="43"/>
              <w:spacing w:line="360" w:lineRule="auto"/>
              <w:rPr>
                <w:rFonts w:ascii="宋体" w:hAnsi="宋体" w:cs="宋体"/>
                <w:szCs w:val="21"/>
              </w:rPr>
            </w:pPr>
          </w:p>
        </w:tc>
        <w:tc>
          <w:tcPr>
            <w:tcW w:w="1860" w:type="dxa"/>
            <w:tcBorders>
              <w:top w:val="single" w:color="auto" w:sz="4" w:space="0"/>
              <w:left w:val="single" w:color="auto" w:sz="4" w:space="0"/>
              <w:bottom w:val="single" w:color="auto" w:sz="4" w:space="0"/>
              <w:right w:val="single" w:color="auto" w:sz="4" w:space="0"/>
            </w:tcBorders>
          </w:tcPr>
          <w:p w14:paraId="317BA1C2">
            <w:pPr>
              <w:pStyle w:val="43"/>
              <w:spacing w:line="360" w:lineRule="auto"/>
              <w:rPr>
                <w:rFonts w:ascii="宋体" w:hAnsi="宋体" w:cs="宋体"/>
                <w:szCs w:val="21"/>
              </w:rPr>
            </w:pPr>
          </w:p>
        </w:tc>
      </w:tr>
    </w:tbl>
    <w:p w14:paraId="6FAC2CB8">
      <w:pPr>
        <w:pStyle w:val="43"/>
        <w:rPr>
          <w:rFonts w:ascii="宋体" w:hAnsi="宋体" w:cs="宋体"/>
          <w:szCs w:val="21"/>
        </w:rPr>
      </w:pPr>
      <w:r>
        <w:rPr>
          <w:rFonts w:hint="eastAsia" w:ascii="宋体" w:hAnsi="宋体" w:cs="宋体"/>
          <w:szCs w:val="21"/>
          <w:lang w:bidi="ar"/>
        </w:rPr>
        <w:t xml:space="preserve"> </w:t>
      </w:r>
    </w:p>
    <w:p w14:paraId="3B3C7A37">
      <w:pPr>
        <w:pStyle w:val="43"/>
        <w:rPr>
          <w:rFonts w:ascii="宋体" w:hAnsi="宋体" w:cs="宋体"/>
          <w:szCs w:val="21"/>
        </w:rPr>
      </w:pPr>
      <w:r>
        <w:rPr>
          <w:rFonts w:hint="eastAsia" w:ascii="宋体" w:hAnsi="宋体" w:cs="宋体"/>
          <w:szCs w:val="21"/>
          <w:lang w:bidi="ar"/>
        </w:rPr>
        <w:t xml:space="preserve"> </w:t>
      </w:r>
    </w:p>
    <w:p w14:paraId="1A297510">
      <w:pPr>
        <w:pStyle w:val="43"/>
        <w:rPr>
          <w:rFonts w:ascii="宋体" w:hAnsi="宋体" w:cs="宋体"/>
          <w:szCs w:val="21"/>
        </w:rPr>
      </w:pPr>
      <w:r>
        <w:rPr>
          <w:rFonts w:hint="eastAsia" w:ascii="宋体" w:hAnsi="宋体" w:cs="宋体"/>
          <w:szCs w:val="21"/>
          <w:lang w:bidi="ar"/>
        </w:rPr>
        <w:t xml:space="preserve"> </w:t>
      </w:r>
    </w:p>
    <w:p w14:paraId="437C9B90">
      <w:pPr>
        <w:pStyle w:val="43"/>
        <w:spacing w:after="321" w:afterLines="100"/>
        <w:outlineLvl w:val="0"/>
        <w:rPr>
          <w:rFonts w:ascii="宋体" w:hAnsi="宋体" w:cs="宋体"/>
          <w:b/>
          <w:szCs w:val="21"/>
        </w:rPr>
      </w:pPr>
      <w:bookmarkStart w:id="19" w:name="_Toc256000110"/>
      <w:r>
        <w:rPr>
          <w:b/>
          <w:szCs w:val="21"/>
          <w:lang w:bidi="ar"/>
        </w:rPr>
        <w:t xml:space="preserve">B-2  </w:t>
      </w:r>
      <w:r>
        <w:rPr>
          <w:rFonts w:hint="eastAsia" w:ascii="宋体" w:hAnsi="宋体" w:cs="宋体"/>
          <w:b/>
          <w:szCs w:val="21"/>
          <w:lang w:bidi="ar"/>
        </w:rPr>
        <w:t>委托人提供的房屋</w:t>
      </w:r>
      <w:bookmarkEnd w:id="19"/>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8"/>
        <w:gridCol w:w="2130"/>
        <w:gridCol w:w="2130"/>
        <w:gridCol w:w="1860"/>
      </w:tblGrid>
      <w:tr w14:paraId="501B9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tcPr>
          <w:p w14:paraId="1E68B85C">
            <w:pPr>
              <w:pStyle w:val="43"/>
              <w:spacing w:line="360" w:lineRule="auto"/>
              <w:jc w:val="center"/>
              <w:rPr>
                <w:rFonts w:ascii="宋体" w:hAnsi="宋体" w:cs="宋体"/>
                <w:szCs w:val="21"/>
              </w:rPr>
            </w:pPr>
            <w:r>
              <w:rPr>
                <w:rFonts w:hint="eastAsia" w:ascii="宋体" w:hAnsi="宋体" w:cs="宋体"/>
                <w:szCs w:val="21"/>
                <w:lang w:bidi="ar"/>
              </w:rPr>
              <w:t>名称</w:t>
            </w:r>
          </w:p>
        </w:tc>
        <w:tc>
          <w:tcPr>
            <w:tcW w:w="2130" w:type="dxa"/>
            <w:tcBorders>
              <w:top w:val="single" w:color="auto" w:sz="4" w:space="0"/>
              <w:left w:val="single" w:color="auto" w:sz="4" w:space="0"/>
              <w:bottom w:val="single" w:color="auto" w:sz="4" w:space="0"/>
              <w:right w:val="single" w:color="auto" w:sz="4" w:space="0"/>
            </w:tcBorders>
          </w:tcPr>
          <w:p w14:paraId="32755B1E">
            <w:pPr>
              <w:pStyle w:val="43"/>
              <w:spacing w:line="360" w:lineRule="auto"/>
              <w:jc w:val="center"/>
              <w:rPr>
                <w:rFonts w:ascii="宋体" w:hAnsi="宋体" w:cs="宋体"/>
                <w:szCs w:val="21"/>
              </w:rPr>
            </w:pPr>
            <w:r>
              <w:rPr>
                <w:rFonts w:hint="eastAsia" w:ascii="宋体" w:hAnsi="宋体" w:cs="宋体"/>
                <w:szCs w:val="21"/>
                <w:lang w:bidi="ar"/>
              </w:rPr>
              <w:t>数量</w:t>
            </w:r>
          </w:p>
        </w:tc>
        <w:tc>
          <w:tcPr>
            <w:tcW w:w="2130" w:type="dxa"/>
            <w:tcBorders>
              <w:top w:val="single" w:color="auto" w:sz="4" w:space="0"/>
              <w:left w:val="single" w:color="auto" w:sz="4" w:space="0"/>
              <w:bottom w:val="single" w:color="auto" w:sz="4" w:space="0"/>
              <w:right w:val="single" w:color="auto" w:sz="4" w:space="0"/>
            </w:tcBorders>
          </w:tcPr>
          <w:p w14:paraId="5B35627E">
            <w:pPr>
              <w:pStyle w:val="43"/>
              <w:spacing w:line="360" w:lineRule="auto"/>
              <w:jc w:val="center"/>
              <w:rPr>
                <w:rFonts w:ascii="宋体" w:hAnsi="宋体" w:cs="宋体"/>
                <w:szCs w:val="21"/>
              </w:rPr>
            </w:pPr>
            <w:r>
              <w:rPr>
                <w:rFonts w:hint="eastAsia" w:ascii="宋体" w:hAnsi="宋体" w:cs="宋体"/>
                <w:szCs w:val="21"/>
                <w:lang w:bidi="ar"/>
              </w:rPr>
              <w:t>面积</w:t>
            </w:r>
          </w:p>
        </w:tc>
        <w:tc>
          <w:tcPr>
            <w:tcW w:w="1860" w:type="dxa"/>
            <w:tcBorders>
              <w:top w:val="single" w:color="auto" w:sz="4" w:space="0"/>
              <w:left w:val="single" w:color="auto" w:sz="4" w:space="0"/>
              <w:bottom w:val="single" w:color="auto" w:sz="4" w:space="0"/>
              <w:right w:val="single" w:color="auto" w:sz="4" w:space="0"/>
            </w:tcBorders>
          </w:tcPr>
          <w:p w14:paraId="2A105863">
            <w:pPr>
              <w:pStyle w:val="43"/>
              <w:spacing w:line="360" w:lineRule="auto"/>
              <w:jc w:val="center"/>
              <w:rPr>
                <w:rFonts w:ascii="宋体" w:hAnsi="宋体" w:cs="宋体"/>
                <w:szCs w:val="21"/>
              </w:rPr>
            </w:pPr>
            <w:r>
              <w:rPr>
                <w:rFonts w:hint="eastAsia" w:ascii="宋体" w:hAnsi="宋体" w:cs="宋体"/>
                <w:szCs w:val="21"/>
                <w:lang w:bidi="ar"/>
              </w:rPr>
              <w:t>提供时间</w:t>
            </w:r>
          </w:p>
        </w:tc>
      </w:tr>
      <w:tr w14:paraId="6D8BB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tcPr>
          <w:p w14:paraId="4D2CFC19">
            <w:pPr>
              <w:pStyle w:val="43"/>
              <w:spacing w:line="360" w:lineRule="auto"/>
              <w:rPr>
                <w:rFonts w:ascii="宋体" w:hAnsi="宋体" w:cs="宋体"/>
                <w:szCs w:val="21"/>
              </w:rPr>
            </w:pPr>
            <w:r>
              <w:rPr>
                <w:rFonts w:hint="eastAsia" w:ascii="宋体" w:hAnsi="宋体" w:cs="宋体"/>
                <w:szCs w:val="21"/>
                <w:lang w:bidi="ar"/>
              </w:rPr>
              <w:t>1. 办公用房</w:t>
            </w:r>
          </w:p>
        </w:tc>
        <w:tc>
          <w:tcPr>
            <w:tcW w:w="2130" w:type="dxa"/>
            <w:tcBorders>
              <w:top w:val="single" w:color="auto" w:sz="4" w:space="0"/>
              <w:left w:val="single" w:color="auto" w:sz="4" w:space="0"/>
              <w:bottom w:val="single" w:color="auto" w:sz="4" w:space="0"/>
              <w:right w:val="single" w:color="auto" w:sz="4" w:space="0"/>
            </w:tcBorders>
          </w:tcPr>
          <w:p w14:paraId="51D0272B">
            <w:pPr>
              <w:pStyle w:val="43"/>
              <w:spacing w:line="360" w:lineRule="auto"/>
              <w:ind w:firstLine="210" w:firstLineChars="100"/>
              <w:rPr>
                <w:rFonts w:ascii="宋体" w:hAnsi="宋体" w:cs="宋体"/>
                <w:szCs w:val="21"/>
              </w:rPr>
            </w:pPr>
            <w:r>
              <w:rPr>
                <w:rFonts w:hint="eastAsia" w:ascii="宋体" w:hAnsi="宋体" w:cs="宋体"/>
                <w:szCs w:val="21"/>
                <w:lang w:bidi="ar"/>
              </w:rPr>
              <w:t xml:space="preserve"> </w:t>
            </w:r>
            <w:r>
              <w:rPr>
                <w:rFonts w:ascii="宋体" w:hAnsi="宋体" w:cs="宋体"/>
                <w:szCs w:val="21"/>
                <w:lang w:bidi="ar"/>
              </w:rPr>
              <w:t>/</w:t>
            </w:r>
          </w:p>
        </w:tc>
        <w:tc>
          <w:tcPr>
            <w:tcW w:w="2130" w:type="dxa"/>
            <w:tcBorders>
              <w:top w:val="single" w:color="auto" w:sz="4" w:space="0"/>
              <w:left w:val="single" w:color="auto" w:sz="4" w:space="0"/>
              <w:bottom w:val="single" w:color="auto" w:sz="4" w:space="0"/>
              <w:right w:val="single" w:color="auto" w:sz="4" w:space="0"/>
            </w:tcBorders>
          </w:tcPr>
          <w:p w14:paraId="397B7F87">
            <w:pPr>
              <w:pStyle w:val="43"/>
              <w:spacing w:line="360" w:lineRule="auto"/>
              <w:ind w:firstLine="210" w:firstLineChars="100"/>
              <w:rPr>
                <w:rFonts w:ascii="宋体" w:hAnsi="宋体" w:cs="宋体"/>
                <w:szCs w:val="21"/>
              </w:rPr>
            </w:pPr>
            <w:r>
              <w:rPr>
                <w:rFonts w:hint="eastAsia" w:ascii="宋体" w:hAnsi="宋体" w:cs="宋体"/>
                <w:szCs w:val="21"/>
                <w:lang w:bidi="ar"/>
              </w:rPr>
              <w:t xml:space="preserve"> </w:t>
            </w:r>
            <w:r>
              <w:rPr>
                <w:rFonts w:ascii="宋体" w:hAnsi="宋体" w:cs="宋体"/>
                <w:szCs w:val="21"/>
                <w:lang w:bidi="ar"/>
              </w:rPr>
              <w:t>/</w:t>
            </w:r>
          </w:p>
        </w:tc>
        <w:tc>
          <w:tcPr>
            <w:tcW w:w="1860" w:type="dxa"/>
            <w:tcBorders>
              <w:top w:val="single" w:color="auto" w:sz="4" w:space="0"/>
              <w:left w:val="single" w:color="auto" w:sz="4" w:space="0"/>
              <w:bottom w:val="single" w:color="auto" w:sz="4" w:space="0"/>
              <w:right w:val="single" w:color="auto" w:sz="4" w:space="0"/>
            </w:tcBorders>
          </w:tcPr>
          <w:p w14:paraId="51D82EE4">
            <w:pPr>
              <w:pStyle w:val="43"/>
              <w:spacing w:line="360" w:lineRule="auto"/>
              <w:rPr>
                <w:rFonts w:ascii="宋体" w:hAnsi="宋体" w:cs="宋体"/>
                <w:szCs w:val="21"/>
              </w:rPr>
            </w:pPr>
            <w:r>
              <w:rPr>
                <w:rFonts w:hint="eastAsia" w:ascii="宋体" w:hAnsi="宋体" w:cs="宋体"/>
                <w:szCs w:val="21"/>
              </w:rPr>
              <w:t>/</w:t>
            </w:r>
          </w:p>
        </w:tc>
      </w:tr>
      <w:tr w14:paraId="4954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tcPr>
          <w:p w14:paraId="2476A471">
            <w:pPr>
              <w:pStyle w:val="43"/>
              <w:spacing w:line="360" w:lineRule="auto"/>
              <w:rPr>
                <w:rFonts w:ascii="宋体" w:hAnsi="宋体" w:cs="宋体"/>
                <w:szCs w:val="21"/>
              </w:rPr>
            </w:pPr>
            <w:r>
              <w:rPr>
                <w:rFonts w:hint="eastAsia" w:ascii="宋体" w:hAnsi="宋体" w:cs="宋体"/>
                <w:szCs w:val="21"/>
                <w:lang w:bidi="ar"/>
              </w:rPr>
              <w:t>2. 生活用房</w:t>
            </w:r>
          </w:p>
        </w:tc>
        <w:tc>
          <w:tcPr>
            <w:tcW w:w="2130" w:type="dxa"/>
            <w:tcBorders>
              <w:top w:val="single" w:color="auto" w:sz="4" w:space="0"/>
              <w:left w:val="single" w:color="auto" w:sz="4" w:space="0"/>
              <w:bottom w:val="single" w:color="auto" w:sz="4" w:space="0"/>
              <w:right w:val="single" w:color="auto" w:sz="4" w:space="0"/>
            </w:tcBorders>
          </w:tcPr>
          <w:p w14:paraId="768F4AC1">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tcPr>
          <w:p w14:paraId="7233C7CB">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tcPr>
          <w:p w14:paraId="4784B659">
            <w:pPr>
              <w:pStyle w:val="43"/>
              <w:spacing w:line="360" w:lineRule="auto"/>
              <w:rPr>
                <w:rFonts w:ascii="宋体" w:hAnsi="宋体" w:cs="宋体"/>
                <w:szCs w:val="21"/>
              </w:rPr>
            </w:pPr>
            <w:r>
              <w:rPr>
                <w:rFonts w:hint="eastAsia" w:ascii="宋体" w:hAnsi="宋体" w:cs="宋体"/>
                <w:szCs w:val="21"/>
              </w:rPr>
              <w:t>/</w:t>
            </w:r>
          </w:p>
        </w:tc>
      </w:tr>
      <w:tr w14:paraId="1C6D9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tcPr>
          <w:p w14:paraId="4436296A">
            <w:pPr>
              <w:pStyle w:val="43"/>
              <w:spacing w:line="360" w:lineRule="auto"/>
              <w:rPr>
                <w:rFonts w:ascii="宋体" w:hAnsi="宋体" w:cs="宋体"/>
                <w:dstrike/>
                <w:szCs w:val="21"/>
              </w:rPr>
            </w:pPr>
            <w:r>
              <w:rPr>
                <w:rFonts w:hint="eastAsia" w:ascii="宋体" w:hAnsi="宋体" w:cs="宋体"/>
                <w:szCs w:val="21"/>
                <w:lang w:bidi="ar"/>
              </w:rPr>
              <w:t>3. 试验用房</w:t>
            </w:r>
          </w:p>
        </w:tc>
        <w:tc>
          <w:tcPr>
            <w:tcW w:w="2130" w:type="dxa"/>
            <w:tcBorders>
              <w:top w:val="single" w:color="auto" w:sz="4" w:space="0"/>
              <w:left w:val="single" w:color="auto" w:sz="4" w:space="0"/>
              <w:bottom w:val="single" w:color="auto" w:sz="4" w:space="0"/>
              <w:right w:val="single" w:color="auto" w:sz="4" w:space="0"/>
            </w:tcBorders>
          </w:tcPr>
          <w:p w14:paraId="6CDF8E9D">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tcPr>
          <w:p w14:paraId="576F0556">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tcPr>
          <w:p w14:paraId="592C8816">
            <w:pPr>
              <w:pStyle w:val="43"/>
              <w:spacing w:line="360" w:lineRule="auto"/>
              <w:rPr>
                <w:rFonts w:ascii="宋体" w:hAnsi="宋体" w:cs="宋体"/>
                <w:szCs w:val="21"/>
              </w:rPr>
            </w:pPr>
            <w:r>
              <w:rPr>
                <w:rFonts w:hint="eastAsia" w:ascii="宋体" w:hAnsi="宋体" w:cs="宋体"/>
                <w:szCs w:val="21"/>
              </w:rPr>
              <w:t>/</w:t>
            </w:r>
          </w:p>
        </w:tc>
      </w:tr>
      <w:tr w14:paraId="2B0DC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tcPr>
          <w:p w14:paraId="335F851C">
            <w:pPr>
              <w:pStyle w:val="43"/>
              <w:spacing w:line="360" w:lineRule="auto"/>
              <w:rPr>
                <w:rFonts w:ascii="宋体" w:hAnsi="宋体" w:cs="宋体"/>
                <w:szCs w:val="21"/>
              </w:rPr>
            </w:pPr>
            <w:r>
              <w:rPr>
                <w:rFonts w:hint="eastAsia" w:ascii="宋体" w:hAnsi="宋体" w:cs="宋体"/>
                <w:szCs w:val="21"/>
                <w:lang w:bidi="ar"/>
              </w:rPr>
              <w:t>4. 样品用房</w:t>
            </w:r>
          </w:p>
        </w:tc>
        <w:tc>
          <w:tcPr>
            <w:tcW w:w="2130" w:type="dxa"/>
            <w:tcBorders>
              <w:top w:val="single" w:color="auto" w:sz="4" w:space="0"/>
              <w:left w:val="single" w:color="auto" w:sz="4" w:space="0"/>
              <w:bottom w:val="single" w:color="auto" w:sz="4" w:space="0"/>
              <w:right w:val="single" w:color="auto" w:sz="4" w:space="0"/>
            </w:tcBorders>
          </w:tcPr>
          <w:p w14:paraId="728259C9">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tcPr>
          <w:p w14:paraId="0DBB7353">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tcPr>
          <w:p w14:paraId="6B440201">
            <w:pPr>
              <w:pStyle w:val="43"/>
              <w:spacing w:line="360" w:lineRule="auto"/>
              <w:rPr>
                <w:rFonts w:ascii="宋体" w:hAnsi="宋体" w:cs="宋体"/>
                <w:szCs w:val="21"/>
              </w:rPr>
            </w:pPr>
            <w:r>
              <w:rPr>
                <w:rFonts w:hint="eastAsia" w:ascii="宋体" w:hAnsi="宋体" w:cs="宋体"/>
                <w:szCs w:val="21"/>
              </w:rPr>
              <w:t>/</w:t>
            </w:r>
          </w:p>
        </w:tc>
      </w:tr>
      <w:tr w14:paraId="0709D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tcPr>
          <w:p w14:paraId="4B50B02C">
            <w:pPr>
              <w:pStyle w:val="43"/>
              <w:spacing w:line="360" w:lineRule="auto"/>
              <w:rPr>
                <w:rFonts w:ascii="宋体" w:hAnsi="宋体" w:cs="宋体"/>
                <w:szCs w:val="21"/>
              </w:rPr>
            </w:pPr>
          </w:p>
        </w:tc>
        <w:tc>
          <w:tcPr>
            <w:tcW w:w="2130" w:type="dxa"/>
            <w:tcBorders>
              <w:top w:val="single" w:color="auto" w:sz="4" w:space="0"/>
              <w:left w:val="single" w:color="auto" w:sz="4" w:space="0"/>
              <w:bottom w:val="single" w:color="auto" w:sz="4" w:space="0"/>
              <w:right w:val="single" w:color="auto" w:sz="4" w:space="0"/>
            </w:tcBorders>
          </w:tcPr>
          <w:p w14:paraId="71835801">
            <w:pPr>
              <w:pStyle w:val="43"/>
              <w:spacing w:line="360" w:lineRule="auto"/>
              <w:rPr>
                <w:rFonts w:ascii="宋体" w:hAnsi="宋体" w:cs="宋体"/>
                <w:szCs w:val="21"/>
              </w:rPr>
            </w:pPr>
          </w:p>
        </w:tc>
        <w:tc>
          <w:tcPr>
            <w:tcW w:w="2130" w:type="dxa"/>
            <w:tcBorders>
              <w:top w:val="single" w:color="auto" w:sz="4" w:space="0"/>
              <w:left w:val="single" w:color="auto" w:sz="4" w:space="0"/>
              <w:bottom w:val="single" w:color="auto" w:sz="4" w:space="0"/>
              <w:right w:val="single" w:color="auto" w:sz="4" w:space="0"/>
            </w:tcBorders>
          </w:tcPr>
          <w:p w14:paraId="56D41E44">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tcPr>
          <w:p w14:paraId="2299F2F1">
            <w:pPr>
              <w:pStyle w:val="43"/>
              <w:spacing w:line="360" w:lineRule="auto"/>
              <w:rPr>
                <w:rFonts w:ascii="宋体" w:hAnsi="宋体" w:cs="宋体"/>
                <w:szCs w:val="21"/>
              </w:rPr>
            </w:pPr>
            <w:r>
              <w:rPr>
                <w:rFonts w:hint="eastAsia" w:ascii="宋体" w:hAnsi="宋体" w:cs="宋体"/>
                <w:szCs w:val="21"/>
              </w:rPr>
              <w:t>/</w:t>
            </w:r>
          </w:p>
        </w:tc>
      </w:tr>
      <w:tr w14:paraId="02C48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tcPr>
          <w:p w14:paraId="1ECB4584">
            <w:pPr>
              <w:pStyle w:val="43"/>
              <w:spacing w:line="360" w:lineRule="auto"/>
              <w:rPr>
                <w:rFonts w:ascii="宋体" w:hAnsi="宋体" w:cs="宋体"/>
                <w:szCs w:val="21"/>
              </w:rPr>
            </w:pPr>
            <w:r>
              <w:rPr>
                <w:rFonts w:hint="eastAsia" w:ascii="宋体" w:hAnsi="宋体" w:cs="宋体"/>
                <w:szCs w:val="21"/>
                <w:lang w:bidi="ar"/>
              </w:rPr>
              <w:t>用餐及其他生活条件</w:t>
            </w:r>
          </w:p>
        </w:tc>
        <w:tc>
          <w:tcPr>
            <w:tcW w:w="6120" w:type="dxa"/>
            <w:gridSpan w:val="3"/>
            <w:tcBorders>
              <w:top w:val="single" w:color="auto" w:sz="4" w:space="0"/>
              <w:left w:val="single" w:color="auto" w:sz="4" w:space="0"/>
              <w:bottom w:val="single" w:color="auto" w:sz="4" w:space="0"/>
              <w:right w:val="single" w:color="auto" w:sz="4" w:space="0"/>
            </w:tcBorders>
          </w:tcPr>
          <w:p w14:paraId="77368CCD">
            <w:pPr>
              <w:pStyle w:val="43"/>
              <w:spacing w:line="360" w:lineRule="auto"/>
              <w:rPr>
                <w:rFonts w:ascii="宋体" w:hAnsi="宋体" w:cs="宋体"/>
                <w:szCs w:val="21"/>
              </w:rPr>
            </w:pPr>
            <w:r>
              <w:rPr>
                <w:rFonts w:hint="eastAsia" w:ascii="宋体" w:hAnsi="宋体" w:cs="宋体"/>
                <w:szCs w:val="21"/>
              </w:rPr>
              <w:t>/</w:t>
            </w:r>
          </w:p>
        </w:tc>
      </w:tr>
    </w:tbl>
    <w:p w14:paraId="48C816C5">
      <w:pPr>
        <w:pStyle w:val="43"/>
        <w:rPr>
          <w:szCs w:val="21"/>
        </w:rPr>
      </w:pPr>
      <w:r>
        <w:rPr>
          <w:szCs w:val="21"/>
          <w:lang w:bidi="ar"/>
        </w:rPr>
        <w:t xml:space="preserve"> </w:t>
      </w:r>
    </w:p>
    <w:p w14:paraId="3F1E5AA3">
      <w:pPr>
        <w:pStyle w:val="43"/>
        <w:rPr>
          <w:rFonts w:ascii="宋体" w:hAnsi="宋体" w:cs="宋体"/>
          <w:szCs w:val="21"/>
        </w:rPr>
      </w:pPr>
      <w:r>
        <w:rPr>
          <w:rFonts w:hint="eastAsia" w:ascii="宋体" w:hAnsi="宋体" w:cs="宋体"/>
          <w:szCs w:val="21"/>
          <w:lang w:bidi="ar"/>
        </w:rPr>
        <w:t xml:space="preserve"> </w:t>
      </w:r>
    </w:p>
    <w:p w14:paraId="0A87EC3F">
      <w:pPr>
        <w:pStyle w:val="43"/>
        <w:rPr>
          <w:rFonts w:ascii="宋体" w:hAnsi="宋体" w:cs="宋体"/>
          <w:szCs w:val="21"/>
        </w:rPr>
      </w:pPr>
      <w:r>
        <w:rPr>
          <w:rFonts w:hint="eastAsia" w:ascii="宋体" w:hAnsi="宋体" w:cs="宋体"/>
          <w:szCs w:val="21"/>
          <w:lang w:bidi="ar"/>
        </w:rPr>
        <w:t xml:space="preserve"> </w:t>
      </w:r>
    </w:p>
    <w:p w14:paraId="1B7ED5E0">
      <w:pPr>
        <w:pStyle w:val="43"/>
        <w:rPr>
          <w:rFonts w:ascii="宋体" w:hAnsi="宋体" w:cs="宋体"/>
          <w:szCs w:val="21"/>
        </w:rPr>
      </w:pPr>
      <w:r>
        <w:rPr>
          <w:rFonts w:hint="eastAsia" w:ascii="宋体" w:hAnsi="宋体" w:cs="宋体"/>
          <w:szCs w:val="21"/>
          <w:lang w:bidi="ar"/>
        </w:rPr>
        <w:t xml:space="preserve"> </w:t>
      </w:r>
    </w:p>
    <w:p w14:paraId="6BDFB38F">
      <w:pPr>
        <w:pStyle w:val="43"/>
        <w:spacing w:after="321" w:afterLines="100"/>
        <w:outlineLvl w:val="0"/>
        <w:rPr>
          <w:rFonts w:ascii="宋体" w:hAnsi="宋体" w:cs="宋体"/>
          <w:b/>
          <w:szCs w:val="21"/>
        </w:rPr>
      </w:pPr>
      <w:bookmarkStart w:id="20" w:name="_Toc256000111"/>
      <w:r>
        <w:rPr>
          <w:b/>
          <w:szCs w:val="21"/>
          <w:lang w:bidi="ar"/>
        </w:rPr>
        <w:t xml:space="preserve">B-3  </w:t>
      </w:r>
      <w:r>
        <w:rPr>
          <w:rFonts w:hint="eastAsia" w:ascii="宋体" w:hAnsi="宋体" w:cs="宋体"/>
          <w:b/>
          <w:szCs w:val="21"/>
          <w:lang w:bidi="ar"/>
        </w:rPr>
        <w:t>委托人提供的资料</w:t>
      </w:r>
      <w:bookmarkEnd w:id="20"/>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2"/>
        <w:gridCol w:w="1491"/>
        <w:gridCol w:w="2147"/>
        <w:gridCol w:w="2082"/>
      </w:tblGrid>
      <w:tr w14:paraId="40100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7FF87632">
            <w:pPr>
              <w:pStyle w:val="43"/>
              <w:spacing w:line="360" w:lineRule="auto"/>
              <w:jc w:val="center"/>
              <w:rPr>
                <w:rFonts w:ascii="宋体" w:hAnsi="宋体" w:cs="宋体"/>
                <w:kern w:val="0"/>
                <w:szCs w:val="21"/>
              </w:rPr>
            </w:pPr>
            <w:r>
              <w:rPr>
                <w:rFonts w:hint="eastAsia" w:ascii="宋体" w:hAnsi="宋体" w:cs="宋体"/>
                <w:kern w:val="0"/>
                <w:szCs w:val="21"/>
                <w:lang w:bidi="ar"/>
              </w:rPr>
              <w:t>名称</w:t>
            </w:r>
          </w:p>
        </w:tc>
        <w:tc>
          <w:tcPr>
            <w:tcW w:w="1491" w:type="dxa"/>
            <w:tcBorders>
              <w:top w:val="single" w:color="auto" w:sz="4" w:space="0"/>
              <w:left w:val="single" w:color="auto" w:sz="4" w:space="0"/>
              <w:bottom w:val="single" w:color="auto" w:sz="4" w:space="0"/>
              <w:right w:val="single" w:color="auto" w:sz="4" w:space="0"/>
            </w:tcBorders>
            <w:vAlign w:val="center"/>
          </w:tcPr>
          <w:p w14:paraId="79DB691A">
            <w:pPr>
              <w:pStyle w:val="43"/>
              <w:spacing w:line="360" w:lineRule="auto"/>
              <w:jc w:val="center"/>
              <w:rPr>
                <w:rFonts w:ascii="宋体" w:hAnsi="宋体" w:cs="宋体"/>
                <w:kern w:val="0"/>
                <w:szCs w:val="21"/>
              </w:rPr>
            </w:pPr>
            <w:r>
              <w:rPr>
                <w:rFonts w:hint="eastAsia" w:ascii="宋体" w:hAnsi="宋体" w:cs="宋体"/>
                <w:kern w:val="0"/>
                <w:szCs w:val="21"/>
                <w:lang w:bidi="ar"/>
              </w:rPr>
              <w:t>份数</w:t>
            </w:r>
          </w:p>
        </w:tc>
        <w:tc>
          <w:tcPr>
            <w:tcW w:w="2147" w:type="dxa"/>
            <w:tcBorders>
              <w:top w:val="single" w:color="auto" w:sz="4" w:space="0"/>
              <w:left w:val="single" w:color="auto" w:sz="4" w:space="0"/>
              <w:bottom w:val="single" w:color="auto" w:sz="4" w:space="0"/>
              <w:right w:val="single" w:color="auto" w:sz="4" w:space="0"/>
            </w:tcBorders>
            <w:vAlign w:val="center"/>
          </w:tcPr>
          <w:p w14:paraId="715BFDE8">
            <w:pPr>
              <w:pStyle w:val="43"/>
              <w:spacing w:line="360" w:lineRule="auto"/>
              <w:jc w:val="center"/>
              <w:rPr>
                <w:rFonts w:ascii="宋体" w:hAnsi="宋体" w:cs="宋体"/>
                <w:kern w:val="0"/>
                <w:szCs w:val="21"/>
              </w:rPr>
            </w:pPr>
            <w:r>
              <w:rPr>
                <w:rFonts w:hint="eastAsia" w:ascii="宋体" w:hAnsi="宋体" w:cs="宋体"/>
                <w:kern w:val="0"/>
                <w:szCs w:val="21"/>
                <w:lang w:bidi="ar"/>
              </w:rPr>
              <w:t>提供时间</w:t>
            </w:r>
          </w:p>
        </w:tc>
        <w:tc>
          <w:tcPr>
            <w:tcW w:w="2082" w:type="dxa"/>
            <w:tcBorders>
              <w:top w:val="single" w:color="auto" w:sz="4" w:space="0"/>
              <w:left w:val="single" w:color="auto" w:sz="4" w:space="0"/>
              <w:bottom w:val="single" w:color="auto" w:sz="4" w:space="0"/>
              <w:right w:val="single" w:color="auto" w:sz="4" w:space="0"/>
            </w:tcBorders>
            <w:vAlign w:val="center"/>
          </w:tcPr>
          <w:p w14:paraId="7128AA09">
            <w:pPr>
              <w:pStyle w:val="43"/>
              <w:spacing w:line="360" w:lineRule="auto"/>
              <w:jc w:val="center"/>
              <w:rPr>
                <w:rFonts w:ascii="宋体" w:hAnsi="宋体" w:cs="宋体"/>
                <w:kern w:val="0"/>
                <w:szCs w:val="21"/>
              </w:rPr>
            </w:pPr>
            <w:r>
              <w:rPr>
                <w:rFonts w:hint="eastAsia" w:ascii="宋体" w:hAnsi="宋体" w:cs="宋体"/>
                <w:kern w:val="0"/>
                <w:szCs w:val="21"/>
                <w:lang w:bidi="ar"/>
              </w:rPr>
              <w:t>备注</w:t>
            </w:r>
          </w:p>
        </w:tc>
      </w:tr>
      <w:tr w14:paraId="687C2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41B92835">
            <w:pPr>
              <w:pStyle w:val="43"/>
              <w:spacing w:line="360" w:lineRule="auto"/>
              <w:rPr>
                <w:rFonts w:ascii="宋体" w:hAnsi="宋体" w:cs="宋体"/>
                <w:kern w:val="0"/>
                <w:szCs w:val="21"/>
              </w:rPr>
            </w:pPr>
            <w:r>
              <w:rPr>
                <w:rFonts w:hint="eastAsia" w:ascii="宋体" w:hAnsi="宋体" w:cs="宋体"/>
                <w:kern w:val="0"/>
                <w:szCs w:val="21"/>
                <w:lang w:bidi="ar"/>
              </w:rPr>
              <w:t>1. 工程立项文件</w:t>
            </w:r>
          </w:p>
        </w:tc>
        <w:tc>
          <w:tcPr>
            <w:tcW w:w="1491" w:type="dxa"/>
            <w:tcBorders>
              <w:top w:val="single" w:color="auto" w:sz="4" w:space="0"/>
              <w:left w:val="single" w:color="auto" w:sz="4" w:space="0"/>
              <w:bottom w:val="single" w:color="auto" w:sz="4" w:space="0"/>
              <w:right w:val="single" w:color="auto" w:sz="4" w:space="0"/>
            </w:tcBorders>
            <w:vAlign w:val="center"/>
          </w:tcPr>
          <w:p w14:paraId="77485F74">
            <w:pPr>
              <w:pStyle w:val="43"/>
              <w:spacing w:line="360" w:lineRule="auto"/>
              <w:rPr>
                <w:rFonts w:ascii="宋体" w:hAnsi="宋体" w:cs="宋体"/>
                <w:kern w:val="0"/>
                <w:szCs w:val="21"/>
              </w:rPr>
            </w:pPr>
            <w:r>
              <w:rPr>
                <w:rFonts w:hint="eastAsia" w:ascii="宋体" w:hAnsi="宋体" w:cs="宋体"/>
                <w:kern w:val="0"/>
                <w:szCs w:val="21"/>
              </w:rPr>
              <w:t>/</w:t>
            </w:r>
          </w:p>
        </w:tc>
        <w:tc>
          <w:tcPr>
            <w:tcW w:w="2147" w:type="dxa"/>
            <w:tcBorders>
              <w:top w:val="single" w:color="auto" w:sz="4" w:space="0"/>
              <w:left w:val="single" w:color="auto" w:sz="4" w:space="0"/>
              <w:bottom w:val="single" w:color="auto" w:sz="4" w:space="0"/>
              <w:right w:val="single" w:color="auto" w:sz="4" w:space="0"/>
            </w:tcBorders>
            <w:vAlign w:val="center"/>
          </w:tcPr>
          <w:p w14:paraId="2E82DC0E">
            <w:pPr>
              <w:pStyle w:val="43"/>
              <w:spacing w:line="360" w:lineRule="auto"/>
              <w:rPr>
                <w:rFonts w:ascii="宋体" w:hAnsi="宋体" w:cs="宋体"/>
                <w:kern w:val="0"/>
                <w:szCs w:val="21"/>
              </w:rPr>
            </w:pPr>
            <w:r>
              <w:rPr>
                <w:rFonts w:hint="eastAsia" w:ascii="宋体" w:hAnsi="宋体" w:cs="宋体"/>
                <w:kern w:val="0"/>
                <w:szCs w:val="21"/>
              </w:rPr>
              <w:t>/</w:t>
            </w:r>
          </w:p>
        </w:tc>
        <w:tc>
          <w:tcPr>
            <w:tcW w:w="2082" w:type="dxa"/>
            <w:tcBorders>
              <w:top w:val="single" w:color="auto" w:sz="4" w:space="0"/>
              <w:left w:val="single" w:color="auto" w:sz="4" w:space="0"/>
              <w:bottom w:val="single" w:color="auto" w:sz="4" w:space="0"/>
              <w:right w:val="single" w:color="auto" w:sz="4" w:space="0"/>
            </w:tcBorders>
            <w:vAlign w:val="center"/>
          </w:tcPr>
          <w:p w14:paraId="6D40C2C0">
            <w:pPr>
              <w:pStyle w:val="43"/>
              <w:spacing w:line="360" w:lineRule="auto"/>
              <w:rPr>
                <w:rFonts w:ascii="宋体" w:hAnsi="宋体" w:cs="宋体"/>
                <w:kern w:val="0"/>
                <w:szCs w:val="21"/>
              </w:rPr>
            </w:pPr>
            <w:r>
              <w:rPr>
                <w:rFonts w:hint="eastAsia" w:ascii="宋体" w:hAnsi="宋体" w:cs="宋体"/>
                <w:kern w:val="0"/>
                <w:szCs w:val="21"/>
              </w:rPr>
              <w:t>/</w:t>
            </w:r>
          </w:p>
        </w:tc>
      </w:tr>
      <w:tr w14:paraId="72F02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7EC00710">
            <w:pPr>
              <w:pStyle w:val="43"/>
              <w:spacing w:line="360" w:lineRule="auto"/>
              <w:rPr>
                <w:rFonts w:ascii="宋体" w:hAnsi="宋体" w:cs="宋体"/>
                <w:kern w:val="0"/>
                <w:szCs w:val="21"/>
              </w:rPr>
            </w:pPr>
            <w:r>
              <w:rPr>
                <w:rFonts w:hint="eastAsia" w:ascii="宋体" w:hAnsi="宋体" w:cs="宋体"/>
                <w:kern w:val="0"/>
                <w:szCs w:val="21"/>
                <w:lang w:bidi="ar"/>
              </w:rPr>
              <w:t>2. 工程勘察文件</w:t>
            </w:r>
          </w:p>
        </w:tc>
        <w:tc>
          <w:tcPr>
            <w:tcW w:w="1491" w:type="dxa"/>
            <w:tcBorders>
              <w:top w:val="single" w:color="auto" w:sz="4" w:space="0"/>
              <w:left w:val="single" w:color="auto" w:sz="4" w:space="0"/>
              <w:bottom w:val="single" w:color="auto" w:sz="4" w:space="0"/>
              <w:right w:val="single" w:color="auto" w:sz="4" w:space="0"/>
            </w:tcBorders>
            <w:vAlign w:val="center"/>
          </w:tcPr>
          <w:p w14:paraId="27DBF1FE">
            <w:pPr>
              <w:pStyle w:val="43"/>
              <w:spacing w:line="360" w:lineRule="auto"/>
              <w:rPr>
                <w:rFonts w:ascii="宋体" w:hAnsi="宋体" w:cs="宋体"/>
                <w:kern w:val="0"/>
                <w:szCs w:val="21"/>
              </w:rPr>
            </w:pPr>
            <w:r>
              <w:rPr>
                <w:rFonts w:hint="eastAsia" w:ascii="宋体" w:hAnsi="宋体" w:cs="宋体"/>
                <w:kern w:val="0"/>
                <w:szCs w:val="21"/>
              </w:rPr>
              <w:t>/</w:t>
            </w:r>
          </w:p>
        </w:tc>
        <w:tc>
          <w:tcPr>
            <w:tcW w:w="2147" w:type="dxa"/>
            <w:tcBorders>
              <w:top w:val="single" w:color="auto" w:sz="4" w:space="0"/>
              <w:left w:val="single" w:color="auto" w:sz="4" w:space="0"/>
              <w:bottom w:val="single" w:color="auto" w:sz="4" w:space="0"/>
              <w:right w:val="single" w:color="auto" w:sz="4" w:space="0"/>
            </w:tcBorders>
            <w:vAlign w:val="center"/>
          </w:tcPr>
          <w:p w14:paraId="3BDF5672">
            <w:pPr>
              <w:pStyle w:val="43"/>
              <w:spacing w:line="360" w:lineRule="auto"/>
              <w:rPr>
                <w:rFonts w:ascii="宋体" w:hAnsi="宋体" w:cs="宋体"/>
                <w:kern w:val="0"/>
                <w:szCs w:val="21"/>
              </w:rPr>
            </w:pPr>
            <w:r>
              <w:rPr>
                <w:rFonts w:hint="eastAsia" w:ascii="宋体" w:hAnsi="宋体" w:cs="宋体"/>
                <w:kern w:val="0"/>
                <w:szCs w:val="21"/>
              </w:rPr>
              <w:t>/</w:t>
            </w:r>
          </w:p>
        </w:tc>
        <w:tc>
          <w:tcPr>
            <w:tcW w:w="2082" w:type="dxa"/>
            <w:tcBorders>
              <w:top w:val="single" w:color="auto" w:sz="4" w:space="0"/>
              <w:left w:val="single" w:color="auto" w:sz="4" w:space="0"/>
              <w:bottom w:val="single" w:color="auto" w:sz="4" w:space="0"/>
              <w:right w:val="single" w:color="auto" w:sz="4" w:space="0"/>
            </w:tcBorders>
            <w:vAlign w:val="center"/>
          </w:tcPr>
          <w:p w14:paraId="02041D99">
            <w:pPr>
              <w:pStyle w:val="43"/>
              <w:spacing w:line="360" w:lineRule="auto"/>
              <w:rPr>
                <w:rFonts w:ascii="宋体" w:hAnsi="宋体" w:cs="宋体"/>
                <w:kern w:val="0"/>
                <w:szCs w:val="21"/>
              </w:rPr>
            </w:pPr>
            <w:r>
              <w:rPr>
                <w:rFonts w:hint="eastAsia" w:ascii="宋体" w:hAnsi="宋体" w:cs="宋体"/>
                <w:kern w:val="0"/>
                <w:szCs w:val="21"/>
              </w:rPr>
              <w:t>/</w:t>
            </w:r>
          </w:p>
        </w:tc>
      </w:tr>
      <w:tr w14:paraId="08C40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01879EC4">
            <w:pPr>
              <w:pStyle w:val="43"/>
              <w:spacing w:line="360" w:lineRule="auto"/>
              <w:rPr>
                <w:rFonts w:ascii="宋体" w:hAnsi="宋体" w:cs="宋体"/>
                <w:kern w:val="0"/>
                <w:szCs w:val="21"/>
              </w:rPr>
            </w:pPr>
            <w:r>
              <w:rPr>
                <w:rFonts w:hint="eastAsia" w:ascii="宋体" w:hAnsi="宋体" w:cs="宋体"/>
                <w:kern w:val="0"/>
                <w:szCs w:val="21"/>
                <w:lang w:bidi="ar"/>
              </w:rPr>
              <w:t>3. 工程设计及施工图纸</w:t>
            </w:r>
          </w:p>
        </w:tc>
        <w:tc>
          <w:tcPr>
            <w:tcW w:w="1491" w:type="dxa"/>
            <w:tcBorders>
              <w:top w:val="single" w:color="auto" w:sz="4" w:space="0"/>
              <w:left w:val="single" w:color="auto" w:sz="4" w:space="0"/>
              <w:bottom w:val="single" w:color="auto" w:sz="4" w:space="0"/>
              <w:right w:val="single" w:color="auto" w:sz="4" w:space="0"/>
            </w:tcBorders>
            <w:vAlign w:val="center"/>
          </w:tcPr>
          <w:p w14:paraId="4AE2826B">
            <w:pPr>
              <w:pStyle w:val="43"/>
              <w:spacing w:line="360" w:lineRule="auto"/>
              <w:rPr>
                <w:rFonts w:ascii="宋体" w:hAnsi="宋体" w:cs="宋体"/>
                <w:kern w:val="0"/>
                <w:szCs w:val="21"/>
              </w:rPr>
            </w:pPr>
            <w:r>
              <w:rPr>
                <w:rFonts w:hint="eastAsia" w:ascii="宋体" w:hAnsi="宋体" w:cs="宋体"/>
                <w:kern w:val="0"/>
                <w:szCs w:val="21"/>
              </w:rPr>
              <w:t>/</w:t>
            </w:r>
          </w:p>
        </w:tc>
        <w:tc>
          <w:tcPr>
            <w:tcW w:w="2147" w:type="dxa"/>
            <w:tcBorders>
              <w:top w:val="single" w:color="auto" w:sz="4" w:space="0"/>
              <w:left w:val="single" w:color="auto" w:sz="4" w:space="0"/>
              <w:bottom w:val="single" w:color="auto" w:sz="4" w:space="0"/>
              <w:right w:val="single" w:color="auto" w:sz="4" w:space="0"/>
            </w:tcBorders>
            <w:vAlign w:val="center"/>
          </w:tcPr>
          <w:p w14:paraId="6EB22C12">
            <w:pPr>
              <w:pStyle w:val="43"/>
              <w:spacing w:line="360" w:lineRule="auto"/>
              <w:rPr>
                <w:rFonts w:ascii="宋体" w:hAnsi="宋体" w:cs="宋体"/>
                <w:kern w:val="0"/>
                <w:szCs w:val="21"/>
              </w:rPr>
            </w:pPr>
            <w:r>
              <w:rPr>
                <w:rFonts w:hint="eastAsia" w:ascii="宋体" w:hAnsi="宋体" w:cs="宋体"/>
                <w:kern w:val="0"/>
                <w:szCs w:val="21"/>
              </w:rPr>
              <w:t>/</w:t>
            </w:r>
          </w:p>
        </w:tc>
        <w:tc>
          <w:tcPr>
            <w:tcW w:w="2082" w:type="dxa"/>
            <w:tcBorders>
              <w:top w:val="single" w:color="auto" w:sz="4" w:space="0"/>
              <w:left w:val="single" w:color="auto" w:sz="4" w:space="0"/>
              <w:bottom w:val="single" w:color="auto" w:sz="4" w:space="0"/>
              <w:right w:val="single" w:color="auto" w:sz="4" w:space="0"/>
            </w:tcBorders>
            <w:vAlign w:val="center"/>
          </w:tcPr>
          <w:p w14:paraId="445194BE">
            <w:pPr>
              <w:pStyle w:val="43"/>
              <w:spacing w:line="360" w:lineRule="auto"/>
              <w:rPr>
                <w:rFonts w:ascii="宋体" w:hAnsi="宋体" w:cs="宋体"/>
                <w:kern w:val="0"/>
                <w:szCs w:val="21"/>
              </w:rPr>
            </w:pPr>
            <w:r>
              <w:rPr>
                <w:rFonts w:hint="eastAsia" w:ascii="宋体" w:hAnsi="宋体" w:cs="宋体"/>
                <w:kern w:val="0"/>
                <w:szCs w:val="21"/>
              </w:rPr>
              <w:t>/</w:t>
            </w:r>
          </w:p>
        </w:tc>
      </w:tr>
      <w:tr w14:paraId="115D0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64497DFE">
            <w:pPr>
              <w:pStyle w:val="43"/>
              <w:spacing w:line="360" w:lineRule="auto"/>
              <w:rPr>
                <w:rFonts w:ascii="宋体" w:hAnsi="宋体" w:cs="宋体"/>
                <w:kern w:val="0"/>
                <w:szCs w:val="21"/>
              </w:rPr>
            </w:pPr>
            <w:r>
              <w:rPr>
                <w:rFonts w:hint="eastAsia" w:ascii="宋体" w:hAnsi="宋体" w:cs="宋体"/>
                <w:kern w:val="0"/>
                <w:szCs w:val="21"/>
                <w:lang w:bidi="ar"/>
              </w:rPr>
              <w:t>4. 工程承包合同及其他相关合同</w:t>
            </w:r>
          </w:p>
        </w:tc>
        <w:tc>
          <w:tcPr>
            <w:tcW w:w="1491" w:type="dxa"/>
            <w:tcBorders>
              <w:top w:val="single" w:color="auto" w:sz="4" w:space="0"/>
              <w:left w:val="single" w:color="auto" w:sz="4" w:space="0"/>
              <w:bottom w:val="single" w:color="auto" w:sz="4" w:space="0"/>
              <w:right w:val="single" w:color="auto" w:sz="4" w:space="0"/>
            </w:tcBorders>
            <w:vAlign w:val="center"/>
          </w:tcPr>
          <w:p w14:paraId="72735EF3">
            <w:pPr>
              <w:pStyle w:val="43"/>
              <w:spacing w:line="360" w:lineRule="auto"/>
              <w:rPr>
                <w:rFonts w:ascii="宋体" w:hAnsi="宋体" w:cs="宋体"/>
                <w:kern w:val="0"/>
                <w:szCs w:val="21"/>
              </w:rPr>
            </w:pPr>
            <w:r>
              <w:rPr>
                <w:rFonts w:hint="eastAsia" w:ascii="宋体" w:hAnsi="宋体" w:cs="宋体"/>
                <w:kern w:val="0"/>
                <w:szCs w:val="21"/>
              </w:rPr>
              <w:t>/</w:t>
            </w:r>
          </w:p>
        </w:tc>
        <w:tc>
          <w:tcPr>
            <w:tcW w:w="2147" w:type="dxa"/>
            <w:tcBorders>
              <w:top w:val="single" w:color="auto" w:sz="4" w:space="0"/>
              <w:left w:val="single" w:color="auto" w:sz="4" w:space="0"/>
              <w:bottom w:val="single" w:color="auto" w:sz="4" w:space="0"/>
              <w:right w:val="single" w:color="auto" w:sz="4" w:space="0"/>
            </w:tcBorders>
            <w:vAlign w:val="center"/>
          </w:tcPr>
          <w:p w14:paraId="4F0E7CC6">
            <w:pPr>
              <w:pStyle w:val="43"/>
              <w:spacing w:line="360" w:lineRule="auto"/>
              <w:rPr>
                <w:rFonts w:ascii="宋体" w:hAnsi="宋体" w:cs="宋体"/>
                <w:kern w:val="0"/>
                <w:szCs w:val="21"/>
              </w:rPr>
            </w:pPr>
            <w:r>
              <w:rPr>
                <w:rFonts w:hint="eastAsia" w:ascii="宋体" w:hAnsi="宋体" w:cs="宋体"/>
                <w:kern w:val="0"/>
                <w:szCs w:val="21"/>
              </w:rPr>
              <w:t>/</w:t>
            </w:r>
          </w:p>
        </w:tc>
        <w:tc>
          <w:tcPr>
            <w:tcW w:w="2082" w:type="dxa"/>
            <w:tcBorders>
              <w:top w:val="single" w:color="auto" w:sz="4" w:space="0"/>
              <w:left w:val="single" w:color="auto" w:sz="4" w:space="0"/>
              <w:bottom w:val="single" w:color="auto" w:sz="4" w:space="0"/>
              <w:right w:val="single" w:color="auto" w:sz="4" w:space="0"/>
            </w:tcBorders>
            <w:vAlign w:val="center"/>
          </w:tcPr>
          <w:p w14:paraId="79D5925D">
            <w:pPr>
              <w:pStyle w:val="43"/>
              <w:spacing w:line="360" w:lineRule="auto"/>
              <w:rPr>
                <w:rFonts w:ascii="宋体" w:hAnsi="宋体" w:cs="宋体"/>
                <w:kern w:val="0"/>
                <w:szCs w:val="21"/>
              </w:rPr>
            </w:pPr>
            <w:r>
              <w:rPr>
                <w:rFonts w:hint="eastAsia" w:ascii="宋体" w:hAnsi="宋体" w:cs="宋体"/>
                <w:kern w:val="0"/>
                <w:szCs w:val="21"/>
              </w:rPr>
              <w:t>/</w:t>
            </w:r>
          </w:p>
        </w:tc>
      </w:tr>
      <w:tr w14:paraId="281D5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3850C0AD">
            <w:pPr>
              <w:pStyle w:val="43"/>
              <w:spacing w:line="360" w:lineRule="auto"/>
              <w:rPr>
                <w:rFonts w:ascii="宋体" w:hAnsi="宋体" w:cs="宋体"/>
                <w:kern w:val="0"/>
                <w:szCs w:val="21"/>
              </w:rPr>
            </w:pPr>
            <w:r>
              <w:rPr>
                <w:rFonts w:hint="eastAsia" w:ascii="宋体" w:hAnsi="宋体" w:cs="宋体"/>
                <w:kern w:val="0"/>
                <w:szCs w:val="21"/>
                <w:lang w:bidi="ar"/>
              </w:rPr>
              <w:t>5. 施工许可文件</w:t>
            </w:r>
          </w:p>
        </w:tc>
        <w:tc>
          <w:tcPr>
            <w:tcW w:w="1491" w:type="dxa"/>
            <w:tcBorders>
              <w:top w:val="single" w:color="auto" w:sz="4" w:space="0"/>
              <w:left w:val="single" w:color="auto" w:sz="4" w:space="0"/>
              <w:bottom w:val="single" w:color="auto" w:sz="4" w:space="0"/>
              <w:right w:val="single" w:color="auto" w:sz="4" w:space="0"/>
            </w:tcBorders>
            <w:vAlign w:val="center"/>
          </w:tcPr>
          <w:p w14:paraId="0CFC7E13">
            <w:pPr>
              <w:pStyle w:val="43"/>
              <w:spacing w:line="360" w:lineRule="auto"/>
              <w:rPr>
                <w:rFonts w:ascii="宋体" w:hAnsi="宋体" w:cs="宋体"/>
                <w:kern w:val="0"/>
                <w:szCs w:val="21"/>
              </w:rPr>
            </w:pPr>
            <w:r>
              <w:rPr>
                <w:rFonts w:hint="eastAsia" w:ascii="宋体" w:hAnsi="宋体" w:cs="宋体"/>
                <w:kern w:val="0"/>
                <w:szCs w:val="21"/>
              </w:rPr>
              <w:t>/</w:t>
            </w:r>
          </w:p>
        </w:tc>
        <w:tc>
          <w:tcPr>
            <w:tcW w:w="2147" w:type="dxa"/>
            <w:tcBorders>
              <w:top w:val="single" w:color="auto" w:sz="4" w:space="0"/>
              <w:left w:val="single" w:color="auto" w:sz="4" w:space="0"/>
              <w:bottom w:val="single" w:color="auto" w:sz="4" w:space="0"/>
              <w:right w:val="single" w:color="auto" w:sz="4" w:space="0"/>
            </w:tcBorders>
            <w:vAlign w:val="center"/>
          </w:tcPr>
          <w:p w14:paraId="4D7D4E7B">
            <w:pPr>
              <w:pStyle w:val="43"/>
              <w:spacing w:line="360" w:lineRule="auto"/>
              <w:rPr>
                <w:rFonts w:ascii="宋体" w:hAnsi="宋体" w:cs="宋体"/>
                <w:kern w:val="0"/>
                <w:szCs w:val="21"/>
              </w:rPr>
            </w:pPr>
            <w:r>
              <w:rPr>
                <w:rFonts w:hint="eastAsia" w:ascii="宋体" w:hAnsi="宋体" w:cs="宋体"/>
                <w:kern w:val="0"/>
                <w:szCs w:val="21"/>
              </w:rPr>
              <w:t>/</w:t>
            </w:r>
          </w:p>
        </w:tc>
        <w:tc>
          <w:tcPr>
            <w:tcW w:w="2082" w:type="dxa"/>
            <w:tcBorders>
              <w:top w:val="single" w:color="auto" w:sz="4" w:space="0"/>
              <w:left w:val="single" w:color="auto" w:sz="4" w:space="0"/>
              <w:bottom w:val="single" w:color="auto" w:sz="4" w:space="0"/>
              <w:right w:val="single" w:color="auto" w:sz="4" w:space="0"/>
            </w:tcBorders>
            <w:vAlign w:val="center"/>
          </w:tcPr>
          <w:p w14:paraId="5B38ABA2">
            <w:pPr>
              <w:pStyle w:val="43"/>
              <w:spacing w:line="360" w:lineRule="auto"/>
              <w:rPr>
                <w:rFonts w:ascii="宋体" w:hAnsi="宋体" w:cs="宋体"/>
                <w:kern w:val="0"/>
                <w:szCs w:val="21"/>
              </w:rPr>
            </w:pPr>
            <w:r>
              <w:rPr>
                <w:rFonts w:hint="eastAsia" w:ascii="宋体" w:hAnsi="宋体" w:cs="宋体"/>
                <w:kern w:val="0"/>
                <w:szCs w:val="21"/>
              </w:rPr>
              <w:t>/</w:t>
            </w:r>
          </w:p>
        </w:tc>
      </w:tr>
      <w:tr w14:paraId="5BF4B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086E54F4">
            <w:pPr>
              <w:pStyle w:val="43"/>
              <w:spacing w:line="360" w:lineRule="auto"/>
              <w:rPr>
                <w:rFonts w:ascii="宋体" w:hAnsi="宋体" w:cs="宋体"/>
                <w:kern w:val="0"/>
                <w:szCs w:val="21"/>
              </w:rPr>
            </w:pPr>
            <w:r>
              <w:rPr>
                <w:rFonts w:hint="eastAsia" w:ascii="宋体" w:hAnsi="宋体" w:cs="宋体"/>
                <w:kern w:val="0"/>
                <w:szCs w:val="21"/>
                <w:lang w:bidi="ar"/>
              </w:rPr>
              <w:t>6. 其他文件</w:t>
            </w:r>
          </w:p>
        </w:tc>
        <w:tc>
          <w:tcPr>
            <w:tcW w:w="1491" w:type="dxa"/>
            <w:tcBorders>
              <w:top w:val="single" w:color="auto" w:sz="4" w:space="0"/>
              <w:left w:val="single" w:color="auto" w:sz="4" w:space="0"/>
              <w:bottom w:val="single" w:color="auto" w:sz="4" w:space="0"/>
              <w:right w:val="single" w:color="auto" w:sz="4" w:space="0"/>
            </w:tcBorders>
            <w:vAlign w:val="center"/>
          </w:tcPr>
          <w:p w14:paraId="0BBDD7B4">
            <w:pPr>
              <w:pStyle w:val="43"/>
              <w:spacing w:line="360" w:lineRule="auto"/>
              <w:rPr>
                <w:rFonts w:ascii="宋体" w:hAnsi="宋体" w:cs="宋体"/>
                <w:kern w:val="0"/>
                <w:szCs w:val="21"/>
              </w:rPr>
            </w:pPr>
            <w:r>
              <w:rPr>
                <w:rFonts w:hint="eastAsia" w:ascii="宋体" w:hAnsi="宋体" w:cs="宋体"/>
                <w:kern w:val="0"/>
                <w:szCs w:val="21"/>
              </w:rPr>
              <w:t>/</w:t>
            </w:r>
          </w:p>
        </w:tc>
        <w:tc>
          <w:tcPr>
            <w:tcW w:w="2147" w:type="dxa"/>
            <w:tcBorders>
              <w:top w:val="single" w:color="auto" w:sz="4" w:space="0"/>
              <w:left w:val="single" w:color="auto" w:sz="4" w:space="0"/>
              <w:bottom w:val="single" w:color="auto" w:sz="4" w:space="0"/>
              <w:right w:val="single" w:color="auto" w:sz="4" w:space="0"/>
            </w:tcBorders>
            <w:vAlign w:val="center"/>
          </w:tcPr>
          <w:p w14:paraId="0D08DDAD">
            <w:pPr>
              <w:pStyle w:val="43"/>
              <w:spacing w:line="360" w:lineRule="auto"/>
              <w:rPr>
                <w:rFonts w:ascii="宋体" w:hAnsi="宋体" w:cs="宋体"/>
                <w:kern w:val="0"/>
                <w:szCs w:val="21"/>
              </w:rPr>
            </w:pPr>
            <w:r>
              <w:rPr>
                <w:rFonts w:hint="eastAsia" w:ascii="宋体" w:hAnsi="宋体" w:cs="宋体"/>
                <w:kern w:val="0"/>
                <w:szCs w:val="21"/>
              </w:rPr>
              <w:t>/</w:t>
            </w:r>
          </w:p>
        </w:tc>
        <w:tc>
          <w:tcPr>
            <w:tcW w:w="2082" w:type="dxa"/>
            <w:tcBorders>
              <w:top w:val="single" w:color="auto" w:sz="4" w:space="0"/>
              <w:left w:val="single" w:color="auto" w:sz="4" w:space="0"/>
              <w:bottom w:val="single" w:color="auto" w:sz="4" w:space="0"/>
              <w:right w:val="single" w:color="auto" w:sz="4" w:space="0"/>
            </w:tcBorders>
            <w:vAlign w:val="center"/>
          </w:tcPr>
          <w:p w14:paraId="282CDBB0">
            <w:pPr>
              <w:pStyle w:val="43"/>
              <w:spacing w:line="360" w:lineRule="auto"/>
              <w:rPr>
                <w:rFonts w:ascii="宋体" w:hAnsi="宋体" w:cs="宋体"/>
                <w:kern w:val="0"/>
                <w:szCs w:val="21"/>
              </w:rPr>
            </w:pPr>
            <w:r>
              <w:rPr>
                <w:rFonts w:hint="eastAsia" w:ascii="宋体" w:hAnsi="宋体" w:cs="宋体"/>
                <w:kern w:val="0"/>
                <w:szCs w:val="21"/>
              </w:rPr>
              <w:t>/</w:t>
            </w:r>
          </w:p>
        </w:tc>
      </w:tr>
      <w:tr w14:paraId="7127A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vAlign w:val="center"/>
          </w:tcPr>
          <w:p w14:paraId="5737BDF1">
            <w:pPr>
              <w:pStyle w:val="43"/>
              <w:spacing w:line="360" w:lineRule="auto"/>
              <w:rPr>
                <w:rFonts w:ascii="宋体" w:hAnsi="宋体" w:cs="宋体"/>
                <w:kern w:val="0"/>
                <w:szCs w:val="21"/>
              </w:rPr>
            </w:pPr>
          </w:p>
        </w:tc>
        <w:tc>
          <w:tcPr>
            <w:tcW w:w="1491" w:type="dxa"/>
            <w:tcBorders>
              <w:top w:val="single" w:color="auto" w:sz="4" w:space="0"/>
              <w:left w:val="single" w:color="auto" w:sz="4" w:space="0"/>
              <w:bottom w:val="single" w:color="auto" w:sz="4" w:space="0"/>
              <w:right w:val="single" w:color="auto" w:sz="4" w:space="0"/>
            </w:tcBorders>
            <w:vAlign w:val="center"/>
          </w:tcPr>
          <w:p w14:paraId="107E9D52">
            <w:pPr>
              <w:pStyle w:val="43"/>
              <w:spacing w:line="360" w:lineRule="auto"/>
              <w:rPr>
                <w:rFonts w:ascii="宋体" w:hAnsi="宋体" w:cs="宋体"/>
                <w:kern w:val="0"/>
                <w:szCs w:val="21"/>
              </w:rPr>
            </w:pPr>
          </w:p>
        </w:tc>
        <w:tc>
          <w:tcPr>
            <w:tcW w:w="2147" w:type="dxa"/>
            <w:tcBorders>
              <w:top w:val="single" w:color="auto" w:sz="4" w:space="0"/>
              <w:left w:val="single" w:color="auto" w:sz="4" w:space="0"/>
              <w:bottom w:val="single" w:color="auto" w:sz="4" w:space="0"/>
              <w:right w:val="single" w:color="auto" w:sz="4" w:space="0"/>
            </w:tcBorders>
            <w:vAlign w:val="center"/>
          </w:tcPr>
          <w:p w14:paraId="6466134D">
            <w:pPr>
              <w:pStyle w:val="43"/>
              <w:spacing w:line="360" w:lineRule="auto"/>
              <w:rPr>
                <w:rFonts w:ascii="宋体" w:hAnsi="宋体" w:cs="宋体"/>
                <w:kern w:val="0"/>
                <w:szCs w:val="21"/>
              </w:rPr>
            </w:pPr>
          </w:p>
        </w:tc>
        <w:tc>
          <w:tcPr>
            <w:tcW w:w="2082" w:type="dxa"/>
            <w:tcBorders>
              <w:top w:val="single" w:color="auto" w:sz="4" w:space="0"/>
              <w:left w:val="single" w:color="auto" w:sz="4" w:space="0"/>
              <w:bottom w:val="single" w:color="auto" w:sz="4" w:space="0"/>
              <w:right w:val="single" w:color="auto" w:sz="4" w:space="0"/>
            </w:tcBorders>
            <w:vAlign w:val="center"/>
          </w:tcPr>
          <w:p w14:paraId="3AFF59DF">
            <w:pPr>
              <w:pStyle w:val="43"/>
              <w:spacing w:line="360" w:lineRule="auto"/>
              <w:rPr>
                <w:rFonts w:ascii="宋体" w:hAnsi="宋体" w:cs="宋体"/>
                <w:kern w:val="0"/>
                <w:szCs w:val="21"/>
              </w:rPr>
            </w:pPr>
          </w:p>
        </w:tc>
      </w:tr>
    </w:tbl>
    <w:p w14:paraId="18FAFE36">
      <w:pPr>
        <w:pStyle w:val="43"/>
        <w:spacing w:before="160" w:beforeLines="50" w:line="360" w:lineRule="auto"/>
        <w:rPr>
          <w:rFonts w:ascii="宋体" w:hAnsi="宋体" w:cs="宋体"/>
          <w:b/>
          <w:kern w:val="0"/>
          <w:szCs w:val="21"/>
        </w:rPr>
      </w:pPr>
      <w:r>
        <w:rPr>
          <w:rFonts w:hint="eastAsia" w:ascii="宋体" w:hAnsi="宋体" w:cs="宋体"/>
          <w:b/>
          <w:kern w:val="0"/>
          <w:szCs w:val="21"/>
          <w:lang w:bidi="ar"/>
        </w:rPr>
        <w:t xml:space="preserve"> </w:t>
      </w:r>
    </w:p>
    <w:p w14:paraId="6FF72A6B">
      <w:pPr>
        <w:pStyle w:val="43"/>
        <w:spacing w:after="321" w:afterLines="100"/>
        <w:outlineLvl w:val="0"/>
        <w:rPr>
          <w:rFonts w:ascii="宋体" w:hAnsi="宋体" w:cs="宋体"/>
          <w:b/>
          <w:szCs w:val="21"/>
        </w:rPr>
      </w:pPr>
      <w:bookmarkStart w:id="21" w:name="_Toc256000112"/>
      <w:r>
        <w:rPr>
          <w:b/>
          <w:szCs w:val="21"/>
          <w:lang w:bidi="ar"/>
        </w:rPr>
        <w:t xml:space="preserve">B-4 </w:t>
      </w:r>
      <w:r>
        <w:rPr>
          <w:rFonts w:hint="eastAsia" w:ascii="宋体" w:hAnsi="宋体" w:cs="宋体"/>
          <w:b/>
          <w:szCs w:val="21"/>
          <w:lang w:bidi="ar"/>
        </w:rPr>
        <w:t>委托人提供的设备</w:t>
      </w:r>
      <w:bookmarkEnd w:id="21"/>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8"/>
        <w:gridCol w:w="1590"/>
        <w:gridCol w:w="2130"/>
        <w:gridCol w:w="1860"/>
      </w:tblGrid>
      <w:tr w14:paraId="31420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vAlign w:val="center"/>
          </w:tcPr>
          <w:p w14:paraId="78232BAD">
            <w:pPr>
              <w:pStyle w:val="43"/>
              <w:spacing w:line="360" w:lineRule="auto"/>
              <w:jc w:val="center"/>
              <w:rPr>
                <w:rFonts w:ascii="宋体" w:hAnsi="宋体" w:cs="宋体"/>
                <w:szCs w:val="21"/>
              </w:rPr>
            </w:pPr>
            <w:r>
              <w:rPr>
                <w:rFonts w:hint="eastAsia" w:ascii="宋体" w:hAnsi="宋体" w:cs="宋体"/>
                <w:szCs w:val="21"/>
                <w:lang w:bidi="ar"/>
              </w:rPr>
              <w:t>名称</w:t>
            </w:r>
          </w:p>
        </w:tc>
        <w:tc>
          <w:tcPr>
            <w:tcW w:w="1590" w:type="dxa"/>
            <w:tcBorders>
              <w:top w:val="single" w:color="auto" w:sz="4" w:space="0"/>
              <w:left w:val="single" w:color="auto" w:sz="4" w:space="0"/>
              <w:bottom w:val="single" w:color="auto" w:sz="4" w:space="0"/>
              <w:right w:val="single" w:color="auto" w:sz="4" w:space="0"/>
            </w:tcBorders>
            <w:vAlign w:val="center"/>
          </w:tcPr>
          <w:p w14:paraId="784F7FC2">
            <w:pPr>
              <w:pStyle w:val="43"/>
              <w:spacing w:line="360" w:lineRule="auto"/>
              <w:jc w:val="center"/>
              <w:rPr>
                <w:rFonts w:ascii="宋体" w:hAnsi="宋体" w:cs="宋体"/>
                <w:szCs w:val="21"/>
              </w:rPr>
            </w:pPr>
            <w:r>
              <w:rPr>
                <w:rFonts w:hint="eastAsia" w:ascii="宋体" w:hAnsi="宋体" w:cs="宋体"/>
                <w:szCs w:val="21"/>
                <w:lang w:bidi="ar"/>
              </w:rPr>
              <w:t>数量</w:t>
            </w:r>
          </w:p>
        </w:tc>
        <w:tc>
          <w:tcPr>
            <w:tcW w:w="2130" w:type="dxa"/>
            <w:tcBorders>
              <w:top w:val="single" w:color="auto" w:sz="4" w:space="0"/>
              <w:left w:val="single" w:color="auto" w:sz="4" w:space="0"/>
              <w:bottom w:val="single" w:color="auto" w:sz="4" w:space="0"/>
              <w:right w:val="single" w:color="auto" w:sz="4" w:space="0"/>
            </w:tcBorders>
            <w:vAlign w:val="center"/>
          </w:tcPr>
          <w:p w14:paraId="1CE535AE">
            <w:pPr>
              <w:pStyle w:val="43"/>
              <w:spacing w:line="360" w:lineRule="auto"/>
              <w:jc w:val="center"/>
              <w:rPr>
                <w:rFonts w:ascii="宋体" w:hAnsi="宋体" w:cs="宋体"/>
                <w:szCs w:val="21"/>
              </w:rPr>
            </w:pPr>
            <w:r>
              <w:rPr>
                <w:rFonts w:hint="eastAsia" w:ascii="宋体" w:hAnsi="宋体" w:cs="宋体"/>
                <w:szCs w:val="21"/>
                <w:lang w:bidi="ar"/>
              </w:rPr>
              <w:t>型号与规格</w:t>
            </w:r>
          </w:p>
        </w:tc>
        <w:tc>
          <w:tcPr>
            <w:tcW w:w="1860" w:type="dxa"/>
            <w:tcBorders>
              <w:top w:val="single" w:color="auto" w:sz="4" w:space="0"/>
              <w:left w:val="single" w:color="auto" w:sz="4" w:space="0"/>
              <w:bottom w:val="single" w:color="auto" w:sz="4" w:space="0"/>
              <w:right w:val="single" w:color="auto" w:sz="4" w:space="0"/>
            </w:tcBorders>
            <w:vAlign w:val="center"/>
          </w:tcPr>
          <w:p w14:paraId="204925F6">
            <w:pPr>
              <w:pStyle w:val="43"/>
              <w:spacing w:line="360" w:lineRule="auto"/>
              <w:jc w:val="center"/>
              <w:rPr>
                <w:rFonts w:ascii="宋体" w:hAnsi="宋体" w:cs="宋体"/>
                <w:szCs w:val="21"/>
              </w:rPr>
            </w:pPr>
            <w:r>
              <w:rPr>
                <w:rFonts w:hint="eastAsia" w:ascii="宋体" w:hAnsi="宋体" w:cs="宋体"/>
                <w:szCs w:val="21"/>
                <w:lang w:bidi="ar"/>
              </w:rPr>
              <w:t>提供时间</w:t>
            </w:r>
          </w:p>
        </w:tc>
      </w:tr>
      <w:tr w14:paraId="24630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vAlign w:val="center"/>
          </w:tcPr>
          <w:p w14:paraId="4D47A1E4">
            <w:pPr>
              <w:pStyle w:val="43"/>
              <w:spacing w:line="360" w:lineRule="auto"/>
              <w:rPr>
                <w:rFonts w:ascii="宋体" w:hAnsi="宋体" w:cs="宋体"/>
                <w:szCs w:val="21"/>
              </w:rPr>
            </w:pPr>
            <w:r>
              <w:rPr>
                <w:rFonts w:hint="eastAsia" w:ascii="宋体" w:hAnsi="宋体" w:cs="宋体"/>
                <w:szCs w:val="21"/>
                <w:lang w:bidi="ar"/>
              </w:rPr>
              <w:t>1. 通讯设备</w:t>
            </w:r>
          </w:p>
        </w:tc>
        <w:tc>
          <w:tcPr>
            <w:tcW w:w="1590" w:type="dxa"/>
            <w:tcBorders>
              <w:top w:val="single" w:color="auto" w:sz="4" w:space="0"/>
              <w:left w:val="single" w:color="auto" w:sz="4" w:space="0"/>
              <w:bottom w:val="single" w:color="auto" w:sz="4" w:space="0"/>
              <w:right w:val="single" w:color="auto" w:sz="4" w:space="0"/>
            </w:tcBorders>
            <w:vAlign w:val="center"/>
          </w:tcPr>
          <w:p w14:paraId="501A73F4">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vAlign w:val="center"/>
          </w:tcPr>
          <w:p w14:paraId="21DF4676">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vAlign w:val="center"/>
          </w:tcPr>
          <w:p w14:paraId="0D9EE926">
            <w:pPr>
              <w:pStyle w:val="43"/>
              <w:spacing w:line="360" w:lineRule="auto"/>
              <w:rPr>
                <w:rFonts w:ascii="宋体" w:hAnsi="宋体" w:cs="宋体"/>
                <w:szCs w:val="21"/>
              </w:rPr>
            </w:pPr>
            <w:r>
              <w:rPr>
                <w:rFonts w:hint="eastAsia" w:ascii="宋体" w:hAnsi="宋体" w:cs="宋体"/>
                <w:szCs w:val="21"/>
              </w:rPr>
              <w:t>/</w:t>
            </w:r>
          </w:p>
        </w:tc>
      </w:tr>
      <w:tr w14:paraId="0B295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vAlign w:val="center"/>
          </w:tcPr>
          <w:p w14:paraId="060A03C8">
            <w:pPr>
              <w:pStyle w:val="43"/>
              <w:spacing w:line="360" w:lineRule="auto"/>
              <w:rPr>
                <w:rFonts w:ascii="宋体" w:hAnsi="宋体" w:cs="宋体"/>
                <w:szCs w:val="21"/>
              </w:rPr>
            </w:pPr>
            <w:r>
              <w:rPr>
                <w:rFonts w:hint="eastAsia" w:ascii="宋体" w:hAnsi="宋体" w:cs="宋体"/>
                <w:szCs w:val="21"/>
                <w:lang w:bidi="ar"/>
              </w:rPr>
              <w:t>2. 办公设备</w:t>
            </w:r>
          </w:p>
        </w:tc>
        <w:tc>
          <w:tcPr>
            <w:tcW w:w="1590" w:type="dxa"/>
            <w:tcBorders>
              <w:top w:val="single" w:color="auto" w:sz="4" w:space="0"/>
              <w:left w:val="single" w:color="auto" w:sz="4" w:space="0"/>
              <w:bottom w:val="single" w:color="auto" w:sz="4" w:space="0"/>
              <w:right w:val="single" w:color="auto" w:sz="4" w:space="0"/>
            </w:tcBorders>
            <w:vAlign w:val="center"/>
          </w:tcPr>
          <w:p w14:paraId="493FC06F">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vAlign w:val="center"/>
          </w:tcPr>
          <w:p w14:paraId="2DC645AE">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vAlign w:val="center"/>
          </w:tcPr>
          <w:p w14:paraId="2A6BF882">
            <w:pPr>
              <w:pStyle w:val="43"/>
              <w:spacing w:line="360" w:lineRule="auto"/>
              <w:rPr>
                <w:rFonts w:ascii="宋体" w:hAnsi="宋体" w:cs="宋体"/>
                <w:szCs w:val="21"/>
              </w:rPr>
            </w:pPr>
            <w:r>
              <w:rPr>
                <w:rFonts w:hint="eastAsia" w:ascii="宋体" w:hAnsi="宋体" w:cs="宋体"/>
                <w:szCs w:val="21"/>
              </w:rPr>
              <w:t>/</w:t>
            </w:r>
          </w:p>
        </w:tc>
      </w:tr>
      <w:tr w14:paraId="538AD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vAlign w:val="center"/>
          </w:tcPr>
          <w:p w14:paraId="4B87022C">
            <w:pPr>
              <w:pStyle w:val="43"/>
              <w:spacing w:line="360" w:lineRule="auto"/>
              <w:rPr>
                <w:rFonts w:ascii="宋体" w:hAnsi="宋体" w:cs="宋体"/>
                <w:szCs w:val="21"/>
              </w:rPr>
            </w:pPr>
            <w:r>
              <w:rPr>
                <w:rFonts w:hint="eastAsia" w:ascii="宋体" w:hAnsi="宋体" w:cs="宋体"/>
                <w:szCs w:val="21"/>
                <w:lang w:bidi="ar"/>
              </w:rPr>
              <w:t>3. 交通工具</w:t>
            </w:r>
          </w:p>
        </w:tc>
        <w:tc>
          <w:tcPr>
            <w:tcW w:w="1590" w:type="dxa"/>
            <w:tcBorders>
              <w:top w:val="single" w:color="auto" w:sz="4" w:space="0"/>
              <w:left w:val="single" w:color="auto" w:sz="4" w:space="0"/>
              <w:bottom w:val="single" w:color="auto" w:sz="4" w:space="0"/>
              <w:right w:val="single" w:color="auto" w:sz="4" w:space="0"/>
            </w:tcBorders>
            <w:vAlign w:val="center"/>
          </w:tcPr>
          <w:p w14:paraId="156B2ADA">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vAlign w:val="center"/>
          </w:tcPr>
          <w:p w14:paraId="4B57B101">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vAlign w:val="center"/>
          </w:tcPr>
          <w:p w14:paraId="7E2E5BF6">
            <w:pPr>
              <w:pStyle w:val="43"/>
              <w:spacing w:line="360" w:lineRule="auto"/>
              <w:rPr>
                <w:rFonts w:ascii="宋体" w:hAnsi="宋体" w:cs="宋体"/>
                <w:szCs w:val="21"/>
              </w:rPr>
            </w:pPr>
            <w:r>
              <w:rPr>
                <w:rFonts w:hint="eastAsia" w:ascii="宋体" w:hAnsi="宋体" w:cs="宋体"/>
                <w:szCs w:val="21"/>
              </w:rPr>
              <w:t>/</w:t>
            </w:r>
          </w:p>
        </w:tc>
      </w:tr>
      <w:tr w14:paraId="66AF8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vAlign w:val="center"/>
          </w:tcPr>
          <w:p w14:paraId="112A0B3E">
            <w:pPr>
              <w:pStyle w:val="43"/>
              <w:spacing w:line="360" w:lineRule="auto"/>
              <w:rPr>
                <w:rFonts w:ascii="宋体" w:hAnsi="宋体" w:cs="宋体"/>
                <w:szCs w:val="21"/>
              </w:rPr>
            </w:pPr>
            <w:r>
              <w:rPr>
                <w:rFonts w:hint="eastAsia" w:ascii="宋体" w:hAnsi="宋体" w:cs="宋体"/>
                <w:szCs w:val="21"/>
                <w:lang w:bidi="ar"/>
              </w:rPr>
              <w:t>4. 检测和试验设备</w:t>
            </w:r>
          </w:p>
        </w:tc>
        <w:tc>
          <w:tcPr>
            <w:tcW w:w="1590" w:type="dxa"/>
            <w:tcBorders>
              <w:top w:val="single" w:color="auto" w:sz="4" w:space="0"/>
              <w:left w:val="single" w:color="auto" w:sz="4" w:space="0"/>
              <w:bottom w:val="single" w:color="auto" w:sz="4" w:space="0"/>
              <w:right w:val="single" w:color="auto" w:sz="4" w:space="0"/>
            </w:tcBorders>
            <w:vAlign w:val="center"/>
          </w:tcPr>
          <w:p w14:paraId="14FDF56F">
            <w:pPr>
              <w:pStyle w:val="43"/>
              <w:spacing w:line="360" w:lineRule="auto"/>
              <w:rPr>
                <w:rFonts w:ascii="宋体" w:hAnsi="宋体" w:cs="宋体"/>
                <w:szCs w:val="21"/>
              </w:rPr>
            </w:pPr>
            <w:r>
              <w:rPr>
                <w:rFonts w:hint="eastAsia" w:ascii="宋体" w:hAnsi="宋体" w:cs="宋体"/>
                <w:szCs w:val="21"/>
              </w:rPr>
              <w:t>/</w:t>
            </w:r>
          </w:p>
        </w:tc>
        <w:tc>
          <w:tcPr>
            <w:tcW w:w="2130" w:type="dxa"/>
            <w:tcBorders>
              <w:top w:val="single" w:color="auto" w:sz="4" w:space="0"/>
              <w:left w:val="single" w:color="auto" w:sz="4" w:space="0"/>
              <w:bottom w:val="single" w:color="auto" w:sz="4" w:space="0"/>
              <w:right w:val="single" w:color="auto" w:sz="4" w:space="0"/>
            </w:tcBorders>
            <w:vAlign w:val="center"/>
          </w:tcPr>
          <w:p w14:paraId="6DBD67BB">
            <w:pPr>
              <w:pStyle w:val="43"/>
              <w:spacing w:line="360" w:lineRule="auto"/>
              <w:rPr>
                <w:rFonts w:ascii="宋体" w:hAnsi="宋体" w:cs="宋体"/>
                <w:szCs w:val="21"/>
              </w:rPr>
            </w:pPr>
            <w:r>
              <w:rPr>
                <w:rFonts w:hint="eastAsia" w:ascii="宋体" w:hAnsi="宋体" w:cs="宋体"/>
                <w:szCs w:val="21"/>
              </w:rPr>
              <w:t>/</w:t>
            </w:r>
          </w:p>
        </w:tc>
        <w:tc>
          <w:tcPr>
            <w:tcW w:w="1860" w:type="dxa"/>
            <w:tcBorders>
              <w:top w:val="single" w:color="auto" w:sz="4" w:space="0"/>
              <w:left w:val="single" w:color="auto" w:sz="4" w:space="0"/>
              <w:bottom w:val="single" w:color="auto" w:sz="4" w:space="0"/>
              <w:right w:val="single" w:color="auto" w:sz="4" w:space="0"/>
            </w:tcBorders>
            <w:vAlign w:val="center"/>
          </w:tcPr>
          <w:p w14:paraId="16416AEB">
            <w:pPr>
              <w:pStyle w:val="43"/>
              <w:spacing w:line="360" w:lineRule="auto"/>
              <w:rPr>
                <w:rFonts w:ascii="宋体" w:hAnsi="宋体" w:cs="宋体"/>
                <w:szCs w:val="21"/>
              </w:rPr>
            </w:pPr>
            <w:r>
              <w:rPr>
                <w:rFonts w:hint="eastAsia" w:ascii="宋体" w:hAnsi="宋体" w:cs="宋体"/>
                <w:szCs w:val="21"/>
              </w:rPr>
              <w:t>/</w:t>
            </w:r>
          </w:p>
        </w:tc>
      </w:tr>
      <w:tr w14:paraId="35DEA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vAlign w:val="center"/>
          </w:tcPr>
          <w:p w14:paraId="7705E36D">
            <w:pPr>
              <w:pStyle w:val="43"/>
              <w:spacing w:line="360" w:lineRule="auto"/>
              <w:rPr>
                <w:rFonts w:ascii="宋体" w:hAnsi="宋体" w:cs="宋体"/>
                <w:szCs w:val="21"/>
              </w:rPr>
            </w:pPr>
          </w:p>
        </w:tc>
        <w:tc>
          <w:tcPr>
            <w:tcW w:w="1590" w:type="dxa"/>
            <w:tcBorders>
              <w:top w:val="single" w:color="auto" w:sz="4" w:space="0"/>
              <w:left w:val="single" w:color="auto" w:sz="4" w:space="0"/>
              <w:bottom w:val="single" w:color="auto" w:sz="4" w:space="0"/>
              <w:right w:val="single" w:color="auto" w:sz="4" w:space="0"/>
            </w:tcBorders>
            <w:vAlign w:val="center"/>
          </w:tcPr>
          <w:p w14:paraId="37F2C874">
            <w:pPr>
              <w:pStyle w:val="43"/>
              <w:spacing w:line="360" w:lineRule="auto"/>
              <w:rPr>
                <w:rFonts w:ascii="宋体" w:hAnsi="宋体" w:cs="宋体"/>
                <w:szCs w:val="21"/>
              </w:rPr>
            </w:pPr>
          </w:p>
        </w:tc>
        <w:tc>
          <w:tcPr>
            <w:tcW w:w="2130" w:type="dxa"/>
            <w:tcBorders>
              <w:top w:val="single" w:color="auto" w:sz="4" w:space="0"/>
              <w:left w:val="single" w:color="auto" w:sz="4" w:space="0"/>
              <w:bottom w:val="single" w:color="auto" w:sz="4" w:space="0"/>
              <w:right w:val="single" w:color="auto" w:sz="4" w:space="0"/>
            </w:tcBorders>
            <w:vAlign w:val="center"/>
          </w:tcPr>
          <w:p w14:paraId="7800EDB8">
            <w:pPr>
              <w:pStyle w:val="43"/>
              <w:spacing w:line="360" w:lineRule="auto"/>
              <w:rPr>
                <w:rFonts w:ascii="宋体" w:hAnsi="宋体" w:cs="宋体"/>
                <w:szCs w:val="21"/>
              </w:rPr>
            </w:pPr>
          </w:p>
        </w:tc>
        <w:tc>
          <w:tcPr>
            <w:tcW w:w="1860" w:type="dxa"/>
            <w:tcBorders>
              <w:top w:val="single" w:color="auto" w:sz="4" w:space="0"/>
              <w:left w:val="single" w:color="auto" w:sz="4" w:space="0"/>
              <w:bottom w:val="single" w:color="auto" w:sz="4" w:space="0"/>
              <w:right w:val="single" w:color="auto" w:sz="4" w:space="0"/>
            </w:tcBorders>
            <w:vAlign w:val="center"/>
          </w:tcPr>
          <w:p w14:paraId="56AC950B">
            <w:pPr>
              <w:pStyle w:val="43"/>
              <w:spacing w:line="360" w:lineRule="auto"/>
              <w:rPr>
                <w:rFonts w:ascii="宋体" w:hAnsi="宋体" w:cs="宋体"/>
                <w:szCs w:val="21"/>
              </w:rPr>
            </w:pPr>
          </w:p>
        </w:tc>
      </w:tr>
    </w:tbl>
    <w:p w14:paraId="38EF81DD">
      <w:pPr>
        <w:pStyle w:val="43"/>
        <w:spacing w:line="360" w:lineRule="auto"/>
        <w:rPr>
          <w:rFonts w:ascii="宋体" w:hAnsi="宋体" w:cs="宋体"/>
          <w:szCs w:val="21"/>
        </w:rPr>
      </w:pPr>
      <w:r>
        <w:rPr>
          <w:rFonts w:hint="eastAsia" w:ascii="宋体" w:hAnsi="宋体" w:cs="宋体"/>
          <w:szCs w:val="21"/>
          <w:lang w:bidi="ar"/>
        </w:rPr>
        <w:t xml:space="preserve"> </w:t>
      </w:r>
    </w:p>
    <w:p w14:paraId="5755C996">
      <w:pPr>
        <w:pStyle w:val="43"/>
        <w:spacing w:line="360" w:lineRule="auto"/>
        <w:rPr>
          <w:rFonts w:ascii="宋体" w:hAnsi="宋体" w:cs="宋体"/>
          <w:szCs w:val="21"/>
        </w:rPr>
      </w:pPr>
      <w:r>
        <w:rPr>
          <w:rFonts w:hint="eastAsia" w:ascii="宋体" w:hAnsi="宋体" w:cs="宋体"/>
          <w:szCs w:val="21"/>
          <w:lang w:bidi="ar"/>
        </w:rPr>
        <w:br w:type="page"/>
      </w:r>
    </w:p>
    <w:p w14:paraId="11235237">
      <w:pPr>
        <w:pStyle w:val="43"/>
        <w:spacing w:line="360" w:lineRule="auto"/>
        <w:ind w:firstLine="949" w:firstLineChars="450"/>
        <w:rPr>
          <w:b/>
          <w:szCs w:val="21"/>
        </w:rPr>
      </w:pPr>
      <w:r>
        <w:rPr>
          <w:rFonts w:hint="eastAsia" w:ascii="宋体" w:hAnsi="宋体" w:cs="宋体"/>
          <w:b/>
          <w:szCs w:val="21"/>
          <w:lang w:bidi="ar"/>
        </w:rPr>
        <w:t>附录</w:t>
      </w:r>
      <w:r>
        <w:rPr>
          <w:b/>
          <w:szCs w:val="21"/>
          <w:lang w:bidi="ar"/>
        </w:rPr>
        <w:t xml:space="preserve">C  </w:t>
      </w:r>
      <w:r>
        <w:rPr>
          <w:rFonts w:hint="eastAsia" w:ascii="宋体" w:hAnsi="宋体" w:cs="宋体"/>
          <w:b/>
          <w:szCs w:val="21"/>
          <w:lang w:bidi="ar"/>
        </w:rPr>
        <w:t>《监理工作质量考核办法》</w:t>
      </w:r>
    </w:p>
    <w:p w14:paraId="1315CFD7">
      <w:pPr>
        <w:pStyle w:val="43"/>
        <w:spacing w:line="360" w:lineRule="auto"/>
        <w:ind w:firstLine="420" w:firstLineChars="200"/>
        <w:rPr>
          <w:szCs w:val="21"/>
        </w:rPr>
      </w:pPr>
      <w:r>
        <w:rPr>
          <w:szCs w:val="21"/>
          <w:lang w:bidi="ar"/>
        </w:rPr>
        <w:t>1</w:t>
      </w:r>
      <w:r>
        <w:rPr>
          <w:rFonts w:hint="eastAsia" w:ascii="宋体" w:hAnsi="宋体" w:cs="宋体"/>
          <w:szCs w:val="21"/>
          <w:lang w:bidi="ar"/>
        </w:rPr>
        <w:t>、委托人对</w:t>
      </w:r>
      <w:r>
        <w:rPr>
          <w:rFonts w:hint="eastAsia" w:ascii="宋体" w:hAnsi="宋体" w:cs="宋体"/>
          <w:szCs w:val="21"/>
          <w:u w:val="single"/>
          <w:lang w:bidi="ar"/>
        </w:rPr>
        <w:t>中国—马来西亚钦州产业园区马淑路（东段）工程二标段工程监理</w:t>
      </w:r>
      <w:r>
        <w:rPr>
          <w:rFonts w:hint="eastAsia" w:ascii="宋体" w:hAnsi="宋体" w:cs="宋体"/>
          <w:szCs w:val="21"/>
          <w:lang w:bidi="ar"/>
        </w:rPr>
        <w:t>的工作质量实行月度、季度评价考核制度，考核分为对监理人的考核及对现场监理人员的考核两级进行。</w:t>
      </w:r>
    </w:p>
    <w:p w14:paraId="46D32600">
      <w:pPr>
        <w:pStyle w:val="43"/>
        <w:spacing w:line="360" w:lineRule="auto"/>
        <w:ind w:firstLine="420" w:firstLineChars="200"/>
        <w:rPr>
          <w:szCs w:val="21"/>
        </w:rPr>
      </w:pPr>
      <w:r>
        <w:rPr>
          <w:szCs w:val="21"/>
          <w:lang w:bidi="ar"/>
        </w:rPr>
        <w:t>2</w:t>
      </w:r>
      <w:r>
        <w:rPr>
          <w:rFonts w:hint="eastAsia" w:ascii="宋体" w:hAnsi="宋体" w:cs="宋体"/>
          <w:szCs w:val="21"/>
          <w:lang w:bidi="ar"/>
        </w:rPr>
        <w:t>、委托人对监理人评价考核是依据工程项目的状态（安全、质量、进度、投资、文明施工、接口管理）、现场监理工程师提交的工作成果及其工作效率和效果作出的综合评价。</w:t>
      </w:r>
    </w:p>
    <w:p w14:paraId="2D659F00">
      <w:pPr>
        <w:pStyle w:val="43"/>
        <w:spacing w:line="360" w:lineRule="auto"/>
        <w:ind w:firstLine="420" w:firstLineChars="200"/>
        <w:rPr>
          <w:szCs w:val="21"/>
        </w:rPr>
      </w:pPr>
      <w:r>
        <w:rPr>
          <w:szCs w:val="21"/>
          <w:lang w:bidi="ar"/>
        </w:rPr>
        <w:t>3</w:t>
      </w:r>
      <w:r>
        <w:rPr>
          <w:rFonts w:hint="eastAsia" w:ascii="宋体" w:hAnsi="宋体" w:cs="宋体"/>
          <w:szCs w:val="21"/>
          <w:lang w:bidi="ar"/>
        </w:rPr>
        <w:t>、考核按工程建设监理的安全控制、质量控制、进度控制、投资控制、合同管理、信息管理以及工程协调等项目，采取</w:t>
      </w:r>
      <w:r>
        <w:rPr>
          <w:szCs w:val="21"/>
          <w:lang w:bidi="ar"/>
        </w:rPr>
        <w:t>100</w:t>
      </w:r>
      <w:r>
        <w:rPr>
          <w:rFonts w:hint="eastAsia" w:ascii="宋体" w:hAnsi="宋体" w:cs="宋体"/>
          <w:szCs w:val="21"/>
          <w:lang w:bidi="ar"/>
        </w:rPr>
        <w:t>分制法打分考核。</w:t>
      </w:r>
    </w:p>
    <w:p w14:paraId="2E91840A">
      <w:pPr>
        <w:pStyle w:val="43"/>
        <w:spacing w:line="360" w:lineRule="auto"/>
        <w:ind w:firstLine="420" w:firstLineChars="200"/>
        <w:rPr>
          <w:szCs w:val="21"/>
        </w:rPr>
      </w:pPr>
      <w:r>
        <w:rPr>
          <w:szCs w:val="21"/>
          <w:lang w:bidi="ar"/>
        </w:rPr>
        <w:t>4</w:t>
      </w:r>
      <w:r>
        <w:rPr>
          <w:rFonts w:hint="eastAsia" w:ascii="宋体" w:hAnsi="宋体" w:cs="宋体"/>
          <w:szCs w:val="21"/>
          <w:lang w:bidi="ar"/>
        </w:rPr>
        <w:t>、百分制法打分考核以分项检查得分乘以所占总分的百分比为分项检查实际得分，分项检查实际得分之和，即为检查考核得分。得分在</w:t>
      </w:r>
      <w:r>
        <w:rPr>
          <w:szCs w:val="21"/>
          <w:lang w:bidi="ar"/>
        </w:rPr>
        <w:t>90</w:t>
      </w:r>
      <w:r>
        <w:rPr>
          <w:rFonts w:hint="eastAsia" w:ascii="宋体" w:hAnsi="宋体" w:cs="宋体"/>
          <w:szCs w:val="21"/>
          <w:lang w:bidi="ar"/>
        </w:rPr>
        <w:t>～</w:t>
      </w:r>
      <w:r>
        <w:rPr>
          <w:szCs w:val="21"/>
          <w:lang w:bidi="ar"/>
        </w:rPr>
        <w:t>100</w:t>
      </w:r>
      <w:r>
        <w:rPr>
          <w:rFonts w:hint="eastAsia" w:ascii="宋体" w:hAnsi="宋体" w:cs="宋体"/>
          <w:szCs w:val="21"/>
          <w:lang w:bidi="ar"/>
        </w:rPr>
        <w:t>分为优；得分在</w:t>
      </w:r>
      <w:r>
        <w:rPr>
          <w:szCs w:val="21"/>
          <w:lang w:bidi="ar"/>
        </w:rPr>
        <w:t>70</w:t>
      </w:r>
      <w:r>
        <w:rPr>
          <w:rFonts w:hint="eastAsia" w:ascii="宋体" w:hAnsi="宋体" w:cs="宋体"/>
          <w:szCs w:val="21"/>
          <w:lang w:bidi="ar"/>
        </w:rPr>
        <w:t>～</w:t>
      </w:r>
      <w:r>
        <w:rPr>
          <w:szCs w:val="21"/>
          <w:lang w:bidi="ar"/>
        </w:rPr>
        <w:t>90</w:t>
      </w:r>
      <w:r>
        <w:rPr>
          <w:rFonts w:hint="eastAsia" w:ascii="宋体" w:hAnsi="宋体" w:cs="宋体"/>
          <w:szCs w:val="21"/>
          <w:lang w:bidi="ar"/>
        </w:rPr>
        <w:t>（不含</w:t>
      </w:r>
      <w:r>
        <w:rPr>
          <w:szCs w:val="21"/>
          <w:lang w:bidi="ar"/>
        </w:rPr>
        <w:t>90</w:t>
      </w:r>
      <w:r>
        <w:rPr>
          <w:rFonts w:hint="eastAsia" w:ascii="宋体" w:hAnsi="宋体" w:cs="宋体"/>
          <w:szCs w:val="21"/>
          <w:lang w:bidi="ar"/>
        </w:rPr>
        <w:t>）分为良；得分在</w:t>
      </w:r>
      <w:r>
        <w:rPr>
          <w:szCs w:val="21"/>
          <w:lang w:bidi="ar"/>
        </w:rPr>
        <w:t>50</w:t>
      </w:r>
      <w:r>
        <w:rPr>
          <w:rFonts w:hint="eastAsia" w:ascii="宋体" w:hAnsi="宋体" w:cs="宋体"/>
          <w:szCs w:val="21"/>
          <w:lang w:bidi="ar"/>
        </w:rPr>
        <w:t>～</w:t>
      </w:r>
      <w:r>
        <w:rPr>
          <w:szCs w:val="21"/>
          <w:lang w:bidi="ar"/>
        </w:rPr>
        <w:t>70</w:t>
      </w:r>
      <w:r>
        <w:rPr>
          <w:rFonts w:hint="eastAsia" w:ascii="宋体" w:hAnsi="宋体" w:cs="宋体"/>
          <w:szCs w:val="21"/>
          <w:lang w:bidi="ar"/>
        </w:rPr>
        <w:t>（不含</w:t>
      </w:r>
      <w:r>
        <w:rPr>
          <w:szCs w:val="21"/>
          <w:lang w:bidi="ar"/>
        </w:rPr>
        <w:t>70</w:t>
      </w:r>
      <w:r>
        <w:rPr>
          <w:rFonts w:hint="eastAsia" w:ascii="宋体" w:hAnsi="宋体" w:cs="宋体"/>
          <w:szCs w:val="21"/>
          <w:lang w:bidi="ar"/>
        </w:rPr>
        <w:t>）分为合格；得分在</w:t>
      </w:r>
      <w:r>
        <w:rPr>
          <w:szCs w:val="21"/>
          <w:lang w:bidi="ar"/>
        </w:rPr>
        <w:t>40</w:t>
      </w:r>
      <w:r>
        <w:rPr>
          <w:rFonts w:hint="eastAsia" w:ascii="宋体" w:hAnsi="宋体" w:cs="宋体"/>
          <w:szCs w:val="21"/>
          <w:lang w:bidi="ar"/>
        </w:rPr>
        <w:t>～</w:t>
      </w:r>
      <w:r>
        <w:rPr>
          <w:szCs w:val="21"/>
          <w:lang w:bidi="ar"/>
        </w:rPr>
        <w:t>50</w:t>
      </w:r>
      <w:r>
        <w:rPr>
          <w:rFonts w:hint="eastAsia" w:ascii="宋体" w:hAnsi="宋体" w:cs="宋体"/>
          <w:szCs w:val="21"/>
          <w:lang w:bidi="ar"/>
        </w:rPr>
        <w:t>（不含</w:t>
      </w:r>
      <w:r>
        <w:rPr>
          <w:szCs w:val="21"/>
          <w:lang w:bidi="ar"/>
        </w:rPr>
        <w:t>50</w:t>
      </w:r>
      <w:r>
        <w:rPr>
          <w:rFonts w:hint="eastAsia" w:ascii="宋体" w:hAnsi="宋体" w:cs="宋体"/>
          <w:szCs w:val="21"/>
          <w:lang w:bidi="ar"/>
        </w:rPr>
        <w:t>）分为较差；得分在</w:t>
      </w:r>
      <w:r>
        <w:rPr>
          <w:szCs w:val="21"/>
          <w:lang w:bidi="ar"/>
        </w:rPr>
        <w:t>40</w:t>
      </w:r>
      <w:r>
        <w:rPr>
          <w:rFonts w:hint="eastAsia" w:ascii="宋体" w:hAnsi="宋体" w:cs="宋体"/>
          <w:szCs w:val="21"/>
          <w:lang w:bidi="ar"/>
        </w:rPr>
        <w:t>分以下为差。</w:t>
      </w:r>
    </w:p>
    <w:p w14:paraId="1F834096">
      <w:pPr>
        <w:pStyle w:val="43"/>
        <w:spacing w:line="360" w:lineRule="auto"/>
        <w:ind w:firstLine="420" w:firstLineChars="200"/>
        <w:rPr>
          <w:szCs w:val="21"/>
        </w:rPr>
      </w:pPr>
      <w:r>
        <w:rPr>
          <w:szCs w:val="21"/>
          <w:lang w:bidi="ar"/>
        </w:rPr>
        <w:t>5</w:t>
      </w:r>
      <w:r>
        <w:rPr>
          <w:rFonts w:hint="eastAsia" w:ascii="宋体" w:hAnsi="宋体" w:cs="宋体"/>
          <w:szCs w:val="21"/>
          <w:lang w:bidi="ar"/>
        </w:rPr>
        <w:t>、对评价结果为优良的，委托人对监理人、现场监理人员提出物质或精神奖励；对评价结果为合格或不合格的，委托人对监理人、现场监理人员的不良工作项目提出整改通知，监理人、现场监理人员必须限期整改，同时委托人按合同条件的约定进行处罚。如情节严重，委托人可以将监理人行为通报政府建设主管部门直至中止监理服务合同。</w:t>
      </w:r>
    </w:p>
    <w:p w14:paraId="095182E0">
      <w:pPr>
        <w:pStyle w:val="43"/>
        <w:spacing w:line="360" w:lineRule="auto"/>
        <w:ind w:firstLine="420" w:firstLineChars="200"/>
        <w:rPr>
          <w:szCs w:val="21"/>
        </w:rPr>
      </w:pPr>
      <w:r>
        <w:rPr>
          <w:szCs w:val="21"/>
          <w:lang w:bidi="ar"/>
        </w:rPr>
        <w:t>6</w:t>
      </w:r>
      <w:r>
        <w:rPr>
          <w:rFonts w:hint="eastAsia" w:ascii="宋体" w:hAnsi="宋体" w:cs="宋体"/>
          <w:szCs w:val="21"/>
          <w:lang w:bidi="ar"/>
        </w:rPr>
        <w:t>、评分方法。</w:t>
      </w:r>
    </w:p>
    <w:p w14:paraId="171690B0">
      <w:pPr>
        <w:pStyle w:val="43"/>
        <w:spacing w:line="360" w:lineRule="auto"/>
        <w:ind w:firstLine="420" w:firstLineChars="200"/>
        <w:rPr>
          <w:szCs w:val="21"/>
        </w:rPr>
      </w:pPr>
      <w:r>
        <w:rPr>
          <w:rFonts w:hint="eastAsia" w:ascii="宋体" w:hAnsi="宋体" w:cs="宋体"/>
          <w:szCs w:val="21"/>
          <w:lang w:bidi="ar"/>
        </w:rPr>
        <w:t>（</w:t>
      </w:r>
      <w:r>
        <w:rPr>
          <w:szCs w:val="21"/>
          <w:lang w:bidi="ar"/>
        </w:rPr>
        <w:t>1</w:t>
      </w:r>
      <w:r>
        <w:rPr>
          <w:rFonts w:hint="eastAsia" w:ascii="宋体" w:hAnsi="宋体" w:cs="宋体"/>
          <w:szCs w:val="21"/>
          <w:lang w:bidi="ar"/>
        </w:rPr>
        <w:t>）每个事项按</w:t>
      </w:r>
      <w:r>
        <w:rPr>
          <w:szCs w:val="21"/>
          <w:lang w:bidi="ar"/>
        </w:rPr>
        <w:t>“</w:t>
      </w:r>
      <w:r>
        <w:rPr>
          <w:rFonts w:hint="eastAsia" w:ascii="宋体" w:hAnsi="宋体" w:cs="宋体"/>
          <w:szCs w:val="21"/>
          <w:lang w:bidi="ar"/>
        </w:rPr>
        <w:t>好</w:t>
      </w:r>
      <w:r>
        <w:rPr>
          <w:szCs w:val="21"/>
          <w:lang w:bidi="ar"/>
        </w:rPr>
        <w:t>”</w:t>
      </w:r>
      <w:r>
        <w:rPr>
          <w:rFonts w:hint="eastAsia" w:ascii="宋体" w:hAnsi="宋体" w:cs="宋体"/>
          <w:szCs w:val="21"/>
          <w:lang w:bidi="ar"/>
        </w:rPr>
        <w:t>、</w:t>
      </w:r>
      <w:r>
        <w:rPr>
          <w:szCs w:val="21"/>
          <w:lang w:bidi="ar"/>
        </w:rPr>
        <w:t>“</w:t>
      </w:r>
      <w:r>
        <w:rPr>
          <w:rFonts w:hint="eastAsia" w:ascii="宋体" w:hAnsi="宋体" w:cs="宋体"/>
          <w:szCs w:val="21"/>
          <w:lang w:bidi="ar"/>
        </w:rPr>
        <w:t>较好</w:t>
      </w:r>
      <w:r>
        <w:rPr>
          <w:szCs w:val="21"/>
          <w:lang w:bidi="ar"/>
        </w:rPr>
        <w:t>”</w:t>
      </w:r>
      <w:r>
        <w:rPr>
          <w:rFonts w:hint="eastAsia" w:ascii="宋体" w:hAnsi="宋体" w:cs="宋体"/>
          <w:szCs w:val="21"/>
          <w:lang w:bidi="ar"/>
        </w:rPr>
        <w:t>、</w:t>
      </w:r>
      <w:r>
        <w:rPr>
          <w:szCs w:val="21"/>
          <w:lang w:bidi="ar"/>
        </w:rPr>
        <w:t>“</w:t>
      </w:r>
      <w:r>
        <w:rPr>
          <w:rFonts w:hint="eastAsia" w:ascii="宋体" w:hAnsi="宋体" w:cs="宋体"/>
          <w:szCs w:val="21"/>
          <w:lang w:bidi="ar"/>
        </w:rPr>
        <w:t>合格</w:t>
      </w:r>
      <w:r>
        <w:rPr>
          <w:szCs w:val="21"/>
          <w:lang w:bidi="ar"/>
        </w:rPr>
        <w:t>”</w:t>
      </w:r>
      <w:r>
        <w:rPr>
          <w:rFonts w:hint="eastAsia" w:ascii="宋体" w:hAnsi="宋体" w:cs="宋体"/>
          <w:szCs w:val="21"/>
          <w:lang w:bidi="ar"/>
        </w:rPr>
        <w:t>、</w:t>
      </w:r>
      <w:r>
        <w:rPr>
          <w:szCs w:val="21"/>
          <w:lang w:bidi="ar"/>
        </w:rPr>
        <w:t>“</w:t>
      </w:r>
      <w:r>
        <w:rPr>
          <w:rFonts w:hint="eastAsia" w:ascii="宋体" w:hAnsi="宋体" w:cs="宋体"/>
          <w:szCs w:val="21"/>
          <w:lang w:bidi="ar"/>
        </w:rPr>
        <w:t>较差</w:t>
      </w:r>
      <w:r>
        <w:rPr>
          <w:szCs w:val="21"/>
          <w:lang w:bidi="ar"/>
        </w:rPr>
        <w:t>”</w:t>
      </w:r>
      <w:r>
        <w:rPr>
          <w:rFonts w:hint="eastAsia" w:ascii="宋体" w:hAnsi="宋体" w:cs="宋体"/>
          <w:szCs w:val="21"/>
          <w:lang w:bidi="ar"/>
        </w:rPr>
        <w:t>、</w:t>
      </w:r>
      <w:r>
        <w:rPr>
          <w:szCs w:val="21"/>
          <w:lang w:bidi="ar"/>
        </w:rPr>
        <w:t>“</w:t>
      </w:r>
      <w:r>
        <w:rPr>
          <w:rFonts w:hint="eastAsia" w:ascii="宋体" w:hAnsi="宋体" w:cs="宋体"/>
          <w:szCs w:val="21"/>
          <w:lang w:bidi="ar"/>
        </w:rPr>
        <w:t>差</w:t>
      </w:r>
      <w:r>
        <w:rPr>
          <w:szCs w:val="21"/>
          <w:lang w:bidi="ar"/>
        </w:rPr>
        <w:t>”</w:t>
      </w:r>
      <w:r>
        <w:rPr>
          <w:rFonts w:hint="eastAsia" w:ascii="宋体" w:hAnsi="宋体" w:cs="宋体"/>
          <w:szCs w:val="21"/>
          <w:lang w:bidi="ar"/>
        </w:rPr>
        <w:t>五组评定。</w:t>
      </w:r>
    </w:p>
    <w:p w14:paraId="57B96416">
      <w:pPr>
        <w:pStyle w:val="43"/>
        <w:spacing w:line="360" w:lineRule="auto"/>
        <w:ind w:firstLine="420" w:firstLineChars="200"/>
        <w:rPr>
          <w:szCs w:val="21"/>
        </w:rPr>
      </w:pPr>
      <w:r>
        <w:rPr>
          <w:rFonts w:hint="eastAsia" w:ascii="宋体" w:hAnsi="宋体" w:cs="宋体"/>
          <w:szCs w:val="21"/>
          <w:lang w:bidi="ar"/>
        </w:rPr>
        <w:t>（</w:t>
      </w:r>
      <w:r>
        <w:rPr>
          <w:szCs w:val="21"/>
          <w:lang w:bidi="ar"/>
        </w:rPr>
        <w:t>2</w:t>
      </w:r>
      <w:r>
        <w:rPr>
          <w:rFonts w:hint="eastAsia" w:ascii="宋体" w:hAnsi="宋体" w:cs="宋体"/>
          <w:szCs w:val="21"/>
          <w:lang w:bidi="ar"/>
        </w:rPr>
        <w:t>）凡达到本规定要求，全面较好的评为好，给予该项标准分值的</w:t>
      </w:r>
      <w:r>
        <w:rPr>
          <w:szCs w:val="21"/>
          <w:lang w:bidi="ar"/>
        </w:rPr>
        <w:t>100%</w:t>
      </w:r>
      <w:r>
        <w:rPr>
          <w:rFonts w:hint="eastAsia" w:ascii="宋体" w:hAnsi="宋体" w:cs="宋体"/>
          <w:szCs w:val="21"/>
          <w:lang w:bidi="ar"/>
        </w:rPr>
        <w:t>。</w:t>
      </w:r>
    </w:p>
    <w:p w14:paraId="7E418A03">
      <w:pPr>
        <w:pStyle w:val="43"/>
        <w:spacing w:line="360" w:lineRule="auto"/>
        <w:ind w:firstLine="420" w:firstLineChars="200"/>
        <w:rPr>
          <w:szCs w:val="21"/>
        </w:rPr>
      </w:pPr>
      <w:r>
        <w:rPr>
          <w:rFonts w:hint="eastAsia" w:ascii="宋体" w:hAnsi="宋体" w:cs="宋体"/>
          <w:szCs w:val="21"/>
          <w:lang w:bidi="ar"/>
        </w:rPr>
        <w:t>（</w:t>
      </w:r>
      <w:r>
        <w:rPr>
          <w:szCs w:val="21"/>
          <w:lang w:bidi="ar"/>
        </w:rPr>
        <w:t>3</w:t>
      </w:r>
      <w:r>
        <w:rPr>
          <w:rFonts w:hint="eastAsia" w:ascii="宋体" w:hAnsi="宋体" w:cs="宋体"/>
          <w:szCs w:val="21"/>
          <w:lang w:bidi="ar"/>
        </w:rPr>
        <w:t>）凡达到本规定要求，基本完好的评为较好，给予该项标准分值的</w:t>
      </w:r>
      <w:r>
        <w:rPr>
          <w:szCs w:val="21"/>
          <w:lang w:bidi="ar"/>
        </w:rPr>
        <w:t>90%</w:t>
      </w:r>
      <w:r>
        <w:rPr>
          <w:rFonts w:hint="eastAsia" w:ascii="宋体" w:hAnsi="宋体" w:cs="宋体"/>
          <w:szCs w:val="21"/>
          <w:lang w:bidi="ar"/>
        </w:rPr>
        <w:t>。</w:t>
      </w:r>
    </w:p>
    <w:p w14:paraId="3358961E">
      <w:pPr>
        <w:pStyle w:val="43"/>
        <w:spacing w:line="360" w:lineRule="auto"/>
        <w:ind w:firstLine="420" w:firstLineChars="200"/>
        <w:rPr>
          <w:szCs w:val="21"/>
        </w:rPr>
      </w:pPr>
      <w:r>
        <w:rPr>
          <w:rFonts w:hint="eastAsia" w:ascii="宋体" w:hAnsi="宋体" w:cs="宋体"/>
          <w:szCs w:val="21"/>
          <w:lang w:bidi="ar"/>
        </w:rPr>
        <w:t>（</w:t>
      </w:r>
      <w:r>
        <w:rPr>
          <w:szCs w:val="21"/>
          <w:lang w:bidi="ar"/>
        </w:rPr>
        <w:t>4</w:t>
      </w:r>
      <w:r>
        <w:rPr>
          <w:rFonts w:hint="eastAsia" w:ascii="宋体" w:hAnsi="宋体" w:cs="宋体"/>
          <w:szCs w:val="21"/>
          <w:lang w:bidi="ar"/>
        </w:rPr>
        <w:t>）凡符合本规定要求，达到合格要求的，有一定的缺陷但没有造成不良后果的评为合格，给予该项标准分值的</w:t>
      </w:r>
      <w:r>
        <w:rPr>
          <w:szCs w:val="21"/>
          <w:lang w:bidi="ar"/>
        </w:rPr>
        <w:t>70%</w:t>
      </w:r>
      <w:r>
        <w:rPr>
          <w:rFonts w:hint="eastAsia" w:ascii="宋体" w:hAnsi="宋体" w:cs="宋体"/>
          <w:szCs w:val="21"/>
          <w:lang w:bidi="ar"/>
        </w:rPr>
        <w:t>。</w:t>
      </w:r>
    </w:p>
    <w:p w14:paraId="6883CE7E">
      <w:pPr>
        <w:pStyle w:val="43"/>
        <w:spacing w:line="360" w:lineRule="auto"/>
        <w:ind w:firstLine="420" w:firstLineChars="200"/>
        <w:rPr>
          <w:szCs w:val="21"/>
        </w:rPr>
      </w:pPr>
      <w:r>
        <w:rPr>
          <w:rFonts w:hint="eastAsia" w:ascii="宋体" w:hAnsi="宋体" w:cs="宋体"/>
          <w:szCs w:val="21"/>
          <w:lang w:bidi="ar"/>
        </w:rPr>
        <w:t>（</w:t>
      </w:r>
      <w:r>
        <w:rPr>
          <w:szCs w:val="21"/>
          <w:lang w:bidi="ar"/>
        </w:rPr>
        <w:t>5</w:t>
      </w:r>
      <w:r>
        <w:rPr>
          <w:rFonts w:hint="eastAsia" w:ascii="宋体" w:hAnsi="宋体" w:cs="宋体"/>
          <w:szCs w:val="21"/>
          <w:lang w:bidi="ar"/>
        </w:rPr>
        <w:t>）凡基本符合本规定要求，有较大缺陷，虽经处理留下不良后果的，评为较差，给予该项标准分值的</w:t>
      </w:r>
      <w:r>
        <w:rPr>
          <w:szCs w:val="21"/>
          <w:lang w:bidi="ar"/>
        </w:rPr>
        <w:t>50%</w:t>
      </w:r>
      <w:r>
        <w:rPr>
          <w:rFonts w:hint="eastAsia" w:ascii="宋体" w:hAnsi="宋体" w:cs="宋体"/>
          <w:szCs w:val="21"/>
          <w:lang w:bidi="ar"/>
        </w:rPr>
        <w:t>。</w:t>
      </w:r>
    </w:p>
    <w:p w14:paraId="2395B08F">
      <w:pPr>
        <w:pStyle w:val="43"/>
        <w:spacing w:line="360" w:lineRule="auto"/>
        <w:ind w:firstLine="420" w:firstLineChars="200"/>
        <w:rPr>
          <w:szCs w:val="21"/>
        </w:rPr>
      </w:pPr>
      <w:r>
        <w:rPr>
          <w:rFonts w:hint="eastAsia" w:ascii="宋体" w:hAnsi="宋体" w:cs="宋体"/>
          <w:szCs w:val="21"/>
          <w:lang w:bidi="ar"/>
        </w:rPr>
        <w:t>（</w:t>
      </w:r>
      <w:r>
        <w:rPr>
          <w:szCs w:val="21"/>
          <w:lang w:bidi="ar"/>
        </w:rPr>
        <w:t>6</w:t>
      </w:r>
      <w:r>
        <w:rPr>
          <w:rFonts w:hint="eastAsia" w:ascii="宋体" w:hAnsi="宋体" w:cs="宋体"/>
          <w:szCs w:val="21"/>
          <w:lang w:bidi="ar"/>
        </w:rPr>
        <w:t>）不符合本规定要求，有严重缺陷或失职，且造成明显的不良后果的，评为差，给予该项标准分值的</w:t>
      </w:r>
      <w:r>
        <w:rPr>
          <w:szCs w:val="21"/>
          <w:lang w:bidi="ar"/>
        </w:rPr>
        <w:t>0%</w:t>
      </w:r>
      <w:r>
        <w:rPr>
          <w:rFonts w:hint="eastAsia" w:ascii="宋体" w:hAnsi="宋体" w:cs="宋体"/>
          <w:szCs w:val="21"/>
          <w:lang w:bidi="ar"/>
        </w:rPr>
        <w:t>。</w:t>
      </w:r>
    </w:p>
    <w:p w14:paraId="40A3304C">
      <w:pPr>
        <w:pStyle w:val="43"/>
        <w:spacing w:line="360" w:lineRule="auto"/>
        <w:ind w:firstLine="420" w:firstLineChars="200"/>
        <w:rPr>
          <w:szCs w:val="21"/>
        </w:rPr>
      </w:pPr>
      <w:r>
        <w:rPr>
          <w:rFonts w:hint="eastAsia" w:ascii="宋体" w:hAnsi="宋体" w:cs="宋体"/>
          <w:szCs w:val="21"/>
          <w:lang w:bidi="ar"/>
        </w:rPr>
        <w:t>（</w:t>
      </w:r>
      <w:r>
        <w:rPr>
          <w:szCs w:val="21"/>
          <w:lang w:bidi="ar"/>
        </w:rPr>
        <w:t>7</w:t>
      </w:r>
      <w:r>
        <w:rPr>
          <w:rFonts w:hint="eastAsia" w:ascii="宋体" w:hAnsi="宋体" w:cs="宋体"/>
          <w:szCs w:val="21"/>
          <w:lang w:bidi="ar"/>
        </w:rPr>
        <w:t>）缺项不评分，分子、分母都不计算。</w:t>
      </w:r>
    </w:p>
    <w:p w14:paraId="4F809EFD">
      <w:pPr>
        <w:pStyle w:val="43"/>
        <w:spacing w:line="360" w:lineRule="auto"/>
        <w:ind w:firstLine="420" w:firstLineChars="200"/>
        <w:rPr>
          <w:szCs w:val="21"/>
        </w:rPr>
      </w:pPr>
      <w:r>
        <w:rPr>
          <w:rFonts w:hint="eastAsia" w:ascii="宋体" w:hAnsi="宋体" w:cs="宋体"/>
          <w:szCs w:val="21"/>
          <w:lang w:bidi="ar"/>
        </w:rPr>
        <w:t>（</w:t>
      </w:r>
      <w:r>
        <w:rPr>
          <w:szCs w:val="21"/>
          <w:lang w:bidi="ar"/>
        </w:rPr>
        <w:t>8</w:t>
      </w:r>
      <w:r>
        <w:rPr>
          <w:rFonts w:hint="eastAsia" w:ascii="宋体" w:hAnsi="宋体" w:cs="宋体"/>
          <w:szCs w:val="21"/>
          <w:lang w:bidi="ar"/>
        </w:rPr>
        <w:t>）如发现有严重失职、严重问题或违纪的项目，可视其严重程度，在零线下给予负</w:t>
      </w:r>
      <w:r>
        <w:rPr>
          <w:szCs w:val="21"/>
          <w:lang w:bidi="ar"/>
        </w:rPr>
        <w:t>5</w:t>
      </w:r>
      <w:r>
        <w:rPr>
          <w:rFonts w:hint="eastAsia" w:ascii="宋体" w:hAnsi="宋体" w:cs="宋体"/>
          <w:szCs w:val="21"/>
          <w:lang w:bidi="ar"/>
        </w:rPr>
        <w:t>～</w:t>
      </w:r>
      <w:r>
        <w:rPr>
          <w:szCs w:val="21"/>
          <w:lang w:bidi="ar"/>
        </w:rPr>
        <w:t>10</w:t>
      </w:r>
      <w:r>
        <w:rPr>
          <w:rFonts w:hint="eastAsia" w:ascii="宋体" w:hAnsi="宋体" w:cs="宋体"/>
          <w:szCs w:val="21"/>
          <w:lang w:bidi="ar"/>
        </w:rPr>
        <w:t>分处理，并在检查汇总表的总分中酌情扣减</w:t>
      </w:r>
      <w:r>
        <w:rPr>
          <w:szCs w:val="21"/>
          <w:lang w:bidi="ar"/>
        </w:rPr>
        <w:t>5</w:t>
      </w:r>
      <w:r>
        <w:rPr>
          <w:rFonts w:hint="eastAsia" w:ascii="宋体" w:hAnsi="宋体" w:cs="宋体"/>
          <w:szCs w:val="21"/>
          <w:lang w:bidi="ar"/>
        </w:rPr>
        <w:t>～</w:t>
      </w:r>
      <w:r>
        <w:rPr>
          <w:szCs w:val="21"/>
          <w:lang w:bidi="ar"/>
        </w:rPr>
        <w:t>20</w:t>
      </w:r>
      <w:r>
        <w:rPr>
          <w:rFonts w:hint="eastAsia" w:ascii="宋体" w:hAnsi="宋体" w:cs="宋体"/>
          <w:szCs w:val="21"/>
          <w:lang w:bidi="ar"/>
        </w:rPr>
        <w:t>分。</w:t>
      </w:r>
    </w:p>
    <w:p w14:paraId="14601F69">
      <w:pPr>
        <w:pStyle w:val="43"/>
        <w:spacing w:line="360" w:lineRule="auto"/>
        <w:ind w:firstLine="420" w:firstLineChars="200"/>
        <w:rPr>
          <w:szCs w:val="21"/>
        </w:rPr>
      </w:pPr>
      <w:r>
        <w:rPr>
          <w:rFonts w:hint="eastAsia" w:ascii="宋体" w:hAnsi="宋体" w:cs="宋体"/>
          <w:szCs w:val="21"/>
          <w:lang w:bidi="ar"/>
        </w:rPr>
        <w:t>（</w:t>
      </w:r>
      <w:r>
        <w:rPr>
          <w:szCs w:val="21"/>
          <w:lang w:bidi="ar"/>
        </w:rPr>
        <w:t>9</w:t>
      </w:r>
      <w:r>
        <w:rPr>
          <w:rFonts w:hint="eastAsia" w:ascii="宋体" w:hAnsi="宋体" w:cs="宋体"/>
          <w:szCs w:val="21"/>
          <w:lang w:bidi="ar"/>
        </w:rPr>
        <w:t>）若有优化设计、优化施工方案并对提高工程质量、加快工程进度，节约投资有实际效果，则在检查汇总表的总分中酌情增</w:t>
      </w:r>
      <w:r>
        <w:rPr>
          <w:szCs w:val="21"/>
          <w:lang w:bidi="ar"/>
        </w:rPr>
        <w:t>5</w:t>
      </w:r>
      <w:r>
        <w:rPr>
          <w:rFonts w:hint="eastAsia" w:ascii="宋体" w:hAnsi="宋体" w:cs="宋体"/>
          <w:szCs w:val="21"/>
          <w:lang w:bidi="ar"/>
        </w:rPr>
        <w:t>～</w:t>
      </w:r>
      <w:r>
        <w:rPr>
          <w:szCs w:val="21"/>
          <w:lang w:bidi="ar"/>
        </w:rPr>
        <w:t>20</w:t>
      </w:r>
      <w:r>
        <w:rPr>
          <w:rFonts w:hint="eastAsia" w:ascii="宋体" w:hAnsi="宋体" w:cs="宋体"/>
          <w:szCs w:val="21"/>
          <w:lang w:bidi="ar"/>
        </w:rPr>
        <w:t>分。</w:t>
      </w:r>
    </w:p>
    <w:p w14:paraId="46A1CE45">
      <w:pPr>
        <w:pStyle w:val="43"/>
        <w:spacing w:line="360" w:lineRule="auto"/>
        <w:ind w:firstLine="420" w:firstLineChars="200"/>
        <w:rPr>
          <w:szCs w:val="21"/>
        </w:rPr>
      </w:pPr>
      <w:r>
        <w:rPr>
          <w:szCs w:val="21"/>
          <w:lang w:bidi="ar"/>
        </w:rPr>
        <w:t>7</w:t>
      </w:r>
      <w:r>
        <w:rPr>
          <w:rFonts w:hint="eastAsia" w:ascii="宋体" w:hAnsi="宋体" w:cs="宋体"/>
          <w:szCs w:val="21"/>
          <w:lang w:bidi="ar"/>
        </w:rPr>
        <w:t>、在合同执行过程中，委托人将根据实际情况，进一步完善、修改本办法，监理人必须遵循，并积极配合委托人的考核工作。</w:t>
      </w:r>
    </w:p>
    <w:p w14:paraId="4872FFB6">
      <w:pPr>
        <w:pStyle w:val="43"/>
        <w:spacing w:line="360" w:lineRule="auto"/>
        <w:rPr>
          <w:rFonts w:ascii="宋体" w:hAnsi="宋体" w:cs="宋体"/>
          <w:szCs w:val="21"/>
        </w:rPr>
      </w:pPr>
      <w:r>
        <w:rPr>
          <w:szCs w:val="21"/>
          <w:lang w:bidi="ar"/>
        </w:rPr>
        <w:br w:type="page"/>
      </w:r>
    </w:p>
    <w:p w14:paraId="7EC8D05D">
      <w:pPr>
        <w:pStyle w:val="43"/>
        <w:spacing w:line="360" w:lineRule="auto"/>
        <w:rPr>
          <w:rFonts w:ascii="宋体" w:hAnsi="宋体" w:cs="宋体"/>
          <w:szCs w:val="21"/>
        </w:rPr>
      </w:pPr>
      <w:r>
        <w:rPr>
          <w:rFonts w:hint="eastAsia" w:ascii="宋体" w:hAnsi="宋体" w:cs="宋体"/>
          <w:b/>
          <w:szCs w:val="21"/>
          <w:lang w:bidi="ar"/>
        </w:rPr>
        <w:t>附录</w:t>
      </w:r>
      <w:r>
        <w:rPr>
          <w:b/>
          <w:szCs w:val="21"/>
          <w:lang w:bidi="ar"/>
        </w:rPr>
        <w:t xml:space="preserve">D  </w:t>
      </w:r>
      <w:r>
        <w:rPr>
          <w:rFonts w:hint="eastAsia" w:ascii="宋体" w:hAnsi="宋体" w:cs="宋体"/>
          <w:b/>
          <w:szCs w:val="21"/>
          <w:lang w:bidi="ar"/>
        </w:rPr>
        <w:t>《中马钦州产业园区建设工程开展第三方实测实量评估的指导意见》</w:t>
      </w:r>
    </w:p>
    <w:p w14:paraId="78EE8B86">
      <w:pPr>
        <w:pStyle w:val="43"/>
        <w:spacing w:line="360" w:lineRule="auto"/>
        <w:rPr>
          <w:szCs w:val="21"/>
        </w:rPr>
      </w:pPr>
      <w:r>
        <w:rPr>
          <w:szCs w:val="21"/>
        </w:rPr>
        <w:drawing>
          <wp:inline distT="0" distB="0" distL="114300" distR="114300">
            <wp:extent cx="5791200" cy="82010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r:link="rId7"/>
                    <a:stretch>
                      <a:fillRect/>
                    </a:stretch>
                  </pic:blipFill>
                  <pic:spPr>
                    <a:xfrm>
                      <a:off x="0" y="0"/>
                      <a:ext cx="5791200" cy="8201025"/>
                    </a:xfrm>
                    <a:prstGeom prst="rect">
                      <a:avLst/>
                    </a:prstGeom>
                    <a:noFill/>
                    <a:ln>
                      <a:noFill/>
                    </a:ln>
                  </pic:spPr>
                </pic:pic>
              </a:graphicData>
            </a:graphic>
          </wp:inline>
        </w:drawing>
      </w:r>
    </w:p>
    <w:p w14:paraId="726B8ABD">
      <w:pPr>
        <w:pStyle w:val="43"/>
        <w:spacing w:line="360" w:lineRule="auto"/>
        <w:rPr>
          <w:szCs w:val="21"/>
        </w:rPr>
      </w:pPr>
      <w:r>
        <w:rPr>
          <w:szCs w:val="21"/>
        </w:rPr>
        <w:drawing>
          <wp:inline distT="0" distB="0" distL="114300" distR="114300">
            <wp:extent cx="5819775" cy="8220075"/>
            <wp:effectExtent l="0" t="0" r="9525" b="952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8" r:link="rId9"/>
                    <a:stretch>
                      <a:fillRect/>
                    </a:stretch>
                  </pic:blipFill>
                  <pic:spPr>
                    <a:xfrm>
                      <a:off x="0" y="0"/>
                      <a:ext cx="5819775" cy="8220075"/>
                    </a:xfrm>
                    <a:prstGeom prst="rect">
                      <a:avLst/>
                    </a:prstGeom>
                    <a:noFill/>
                    <a:ln>
                      <a:noFill/>
                    </a:ln>
                  </pic:spPr>
                </pic:pic>
              </a:graphicData>
            </a:graphic>
          </wp:inline>
        </w:drawing>
      </w:r>
    </w:p>
    <w:p w14:paraId="22B666A1">
      <w:pPr>
        <w:pStyle w:val="43"/>
        <w:spacing w:line="360" w:lineRule="auto"/>
        <w:rPr>
          <w:szCs w:val="21"/>
        </w:rPr>
      </w:pPr>
      <w:r>
        <w:rPr>
          <w:szCs w:val="21"/>
        </w:rPr>
        <w:drawing>
          <wp:inline distT="0" distB="0" distL="114300" distR="114300">
            <wp:extent cx="5800725" cy="82200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r:link="rId11"/>
                    <a:stretch>
                      <a:fillRect/>
                    </a:stretch>
                  </pic:blipFill>
                  <pic:spPr>
                    <a:xfrm>
                      <a:off x="0" y="0"/>
                      <a:ext cx="5800725" cy="8220075"/>
                    </a:xfrm>
                    <a:prstGeom prst="rect">
                      <a:avLst/>
                    </a:prstGeom>
                    <a:noFill/>
                    <a:ln>
                      <a:noFill/>
                    </a:ln>
                  </pic:spPr>
                </pic:pic>
              </a:graphicData>
            </a:graphic>
          </wp:inline>
        </w:drawing>
      </w:r>
    </w:p>
    <w:p w14:paraId="4A8BEC9B">
      <w:pPr>
        <w:pStyle w:val="43"/>
        <w:rPr>
          <w:rFonts w:ascii="仿宋" w:hAnsi="仿宋" w:eastAsia="仿宋" w:cs="仿宋"/>
          <w:color w:val="auto"/>
          <w:sz w:val="32"/>
          <w:szCs w:val="32"/>
          <w:highlight w:val="none"/>
        </w:rPr>
      </w:pPr>
      <w:r>
        <w:rPr>
          <w:szCs w:val="21"/>
        </w:rPr>
        <w:drawing>
          <wp:inline distT="0" distB="0" distL="114300" distR="114300">
            <wp:extent cx="5810250" cy="8229600"/>
            <wp:effectExtent l="0" t="0" r="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2" r:link="rId13"/>
                    <a:stretch>
                      <a:fillRect/>
                    </a:stretch>
                  </pic:blipFill>
                  <pic:spPr>
                    <a:xfrm>
                      <a:off x="0" y="0"/>
                      <a:ext cx="5810250" cy="8229600"/>
                    </a:xfrm>
                    <a:prstGeom prst="rect">
                      <a:avLst/>
                    </a:prstGeom>
                    <a:noFill/>
                    <a:ln>
                      <a:noFill/>
                    </a:ln>
                  </pic:spPr>
                </pic:pic>
              </a:graphicData>
            </a:graphic>
          </wp:inline>
        </w:drawing>
      </w:r>
      <w:r>
        <w:rPr>
          <w:szCs w:val="21"/>
        </w:rPr>
        <w:drawing>
          <wp:inline distT="0" distB="0" distL="114300" distR="114300">
            <wp:extent cx="5867400" cy="8296275"/>
            <wp:effectExtent l="0" t="0" r="0"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4" r:link="rId15"/>
                    <a:stretch>
                      <a:fillRect/>
                    </a:stretch>
                  </pic:blipFill>
                  <pic:spPr>
                    <a:xfrm>
                      <a:off x="0" y="0"/>
                      <a:ext cx="5867400" cy="8296275"/>
                    </a:xfrm>
                    <a:prstGeom prst="rect">
                      <a:avLst/>
                    </a:prstGeom>
                    <a:noFill/>
                    <a:ln>
                      <a:noFill/>
                    </a:ln>
                  </pic:spPr>
                </pic:pic>
              </a:graphicData>
            </a:graphic>
          </wp:inline>
        </w:drawing>
      </w:r>
      <w:r>
        <w:rPr>
          <w:szCs w:val="21"/>
        </w:rPr>
        <w:drawing>
          <wp:inline distT="0" distB="0" distL="114300" distR="114300">
            <wp:extent cx="5829300" cy="8277225"/>
            <wp:effectExtent l="0" t="0" r="0" b="952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16" r:link="rId17"/>
                    <a:stretch>
                      <a:fillRect/>
                    </a:stretch>
                  </pic:blipFill>
                  <pic:spPr>
                    <a:xfrm>
                      <a:off x="0" y="0"/>
                      <a:ext cx="5829300" cy="8277225"/>
                    </a:xfrm>
                    <a:prstGeom prst="rect">
                      <a:avLst/>
                    </a:prstGeom>
                    <a:noFill/>
                    <a:ln>
                      <a:noFill/>
                    </a:ln>
                  </pic:spPr>
                </pic:pic>
              </a:graphicData>
            </a:graphic>
          </wp:inline>
        </w:drawing>
      </w:r>
      <w:r>
        <w:rPr>
          <w:szCs w:val="21"/>
        </w:rPr>
        <w:drawing>
          <wp:inline distT="0" distB="0" distL="114300" distR="114300">
            <wp:extent cx="5791200" cy="8191500"/>
            <wp:effectExtent l="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8" r:link="rId19"/>
                    <a:stretch>
                      <a:fillRect/>
                    </a:stretch>
                  </pic:blipFill>
                  <pic:spPr>
                    <a:xfrm>
                      <a:off x="0" y="0"/>
                      <a:ext cx="5791200" cy="8191500"/>
                    </a:xfrm>
                    <a:prstGeom prst="rect">
                      <a:avLst/>
                    </a:prstGeom>
                    <a:noFill/>
                    <a:ln>
                      <a:noFill/>
                    </a:ln>
                  </pic:spPr>
                </pic:pic>
              </a:graphicData>
            </a:graphic>
          </wp:inline>
        </w:drawing>
      </w:r>
      <w:r>
        <w:rPr>
          <w:szCs w:val="21"/>
        </w:rPr>
        <w:drawing>
          <wp:inline distT="0" distB="0" distL="114300" distR="114300">
            <wp:extent cx="5781675" cy="8191500"/>
            <wp:effectExtent l="0" t="0" r="9525" b="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20" r:link="rId21"/>
                    <a:stretch>
                      <a:fillRect/>
                    </a:stretch>
                  </pic:blipFill>
                  <pic:spPr>
                    <a:xfrm>
                      <a:off x="0" y="0"/>
                      <a:ext cx="5781675" cy="8191500"/>
                    </a:xfrm>
                    <a:prstGeom prst="rect">
                      <a:avLst/>
                    </a:prstGeom>
                    <a:noFill/>
                    <a:ln>
                      <a:noFill/>
                    </a:ln>
                  </pic:spPr>
                </pic:pic>
              </a:graphicData>
            </a:graphic>
          </wp:inline>
        </w:drawing>
      </w:r>
      <w:bookmarkEnd w:id="13"/>
    </w:p>
    <w:sectPr>
      <w:headerReference r:id="rId3" w:type="default"/>
      <w:footerReference r:id="rId4" w:type="default"/>
      <w:pgSz w:w="11906" w:h="16838"/>
      <w:pgMar w:top="2268" w:right="1474" w:bottom="2041" w:left="1587" w:header="851" w:footer="992" w:gutter="0"/>
      <w:cols w:space="0" w:num="1"/>
      <w:rtlGutter w:val="0"/>
      <w:docGrid w:type="lines" w:linePitch="32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方正小标宋_GBK">
    <w:panose1 w:val="03000509000000000000"/>
    <w:charset w:val="86"/>
    <w:family w:val="script"/>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357942">
    <w:pPr>
      <w:pStyle w:val="10"/>
      <w:jc w:val="cente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1A5F23">
    <w:pPr>
      <w:ind w:right="606"/>
      <w:rPr>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8AFA579"/>
    <w:multiLevelType w:val="singleLevel"/>
    <w:tmpl w:val="58AFA579"/>
    <w:lvl w:ilvl="0" w:tentative="0">
      <w:start w:val="1"/>
      <w:numFmt w:val="chineseCounting"/>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revisionView w:markup="0"/>
  <w:trackRevisions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lhYjUzOGJjNmFkMWRjOWVhNWUyMDljYWI5NjFlNzUifQ=="/>
  </w:docVars>
  <w:rsids>
    <w:rsidRoot w:val="00172A27"/>
    <w:rsid w:val="0001764C"/>
    <w:rsid w:val="000370B7"/>
    <w:rsid w:val="000C72F2"/>
    <w:rsid w:val="000F6875"/>
    <w:rsid w:val="00113E5D"/>
    <w:rsid w:val="00132154"/>
    <w:rsid w:val="0014038F"/>
    <w:rsid w:val="00172A27"/>
    <w:rsid w:val="001B6E7D"/>
    <w:rsid w:val="001D181F"/>
    <w:rsid w:val="001F5107"/>
    <w:rsid w:val="001F6D1F"/>
    <w:rsid w:val="00205121"/>
    <w:rsid w:val="00224A20"/>
    <w:rsid w:val="002643AB"/>
    <w:rsid w:val="00264A27"/>
    <w:rsid w:val="002729C6"/>
    <w:rsid w:val="002B39C2"/>
    <w:rsid w:val="002D4B3F"/>
    <w:rsid w:val="002E00E0"/>
    <w:rsid w:val="002F3110"/>
    <w:rsid w:val="00306EAB"/>
    <w:rsid w:val="00320225"/>
    <w:rsid w:val="00334642"/>
    <w:rsid w:val="003971A0"/>
    <w:rsid w:val="003B2C23"/>
    <w:rsid w:val="00440888"/>
    <w:rsid w:val="00451B22"/>
    <w:rsid w:val="00452409"/>
    <w:rsid w:val="005047C8"/>
    <w:rsid w:val="00527820"/>
    <w:rsid w:val="00570CDD"/>
    <w:rsid w:val="005724FE"/>
    <w:rsid w:val="0061456E"/>
    <w:rsid w:val="006310B8"/>
    <w:rsid w:val="006752EA"/>
    <w:rsid w:val="00680CD4"/>
    <w:rsid w:val="00692932"/>
    <w:rsid w:val="006B1DDE"/>
    <w:rsid w:val="006C241C"/>
    <w:rsid w:val="0075096A"/>
    <w:rsid w:val="00783CF9"/>
    <w:rsid w:val="007C0F9F"/>
    <w:rsid w:val="007E29EF"/>
    <w:rsid w:val="00861DAB"/>
    <w:rsid w:val="008A60B4"/>
    <w:rsid w:val="008B3AC7"/>
    <w:rsid w:val="008D7507"/>
    <w:rsid w:val="008E6C38"/>
    <w:rsid w:val="009B6493"/>
    <w:rsid w:val="009C0BB2"/>
    <w:rsid w:val="009C4830"/>
    <w:rsid w:val="00A05F8B"/>
    <w:rsid w:val="00A20B1B"/>
    <w:rsid w:val="00A67FDA"/>
    <w:rsid w:val="00AA2204"/>
    <w:rsid w:val="00AC02B7"/>
    <w:rsid w:val="00AD6547"/>
    <w:rsid w:val="00AF19F5"/>
    <w:rsid w:val="00B16F77"/>
    <w:rsid w:val="00B349B1"/>
    <w:rsid w:val="00B56D94"/>
    <w:rsid w:val="00B70705"/>
    <w:rsid w:val="00B83C5F"/>
    <w:rsid w:val="00BB6F2B"/>
    <w:rsid w:val="00BD45A7"/>
    <w:rsid w:val="00C03C3A"/>
    <w:rsid w:val="00C21CBB"/>
    <w:rsid w:val="00C577D8"/>
    <w:rsid w:val="00C67F2F"/>
    <w:rsid w:val="00D31186"/>
    <w:rsid w:val="00D327C9"/>
    <w:rsid w:val="00DB71E7"/>
    <w:rsid w:val="00DD0A8A"/>
    <w:rsid w:val="00E30B4A"/>
    <w:rsid w:val="00E3177E"/>
    <w:rsid w:val="00E64522"/>
    <w:rsid w:val="00EA7A28"/>
    <w:rsid w:val="00EA7E86"/>
    <w:rsid w:val="00ED1CC1"/>
    <w:rsid w:val="00EF3759"/>
    <w:rsid w:val="00F5744F"/>
    <w:rsid w:val="00F80E8F"/>
    <w:rsid w:val="00FC0CA5"/>
    <w:rsid w:val="01C40E32"/>
    <w:rsid w:val="022416DD"/>
    <w:rsid w:val="03B024B8"/>
    <w:rsid w:val="040000C7"/>
    <w:rsid w:val="04870146"/>
    <w:rsid w:val="04EF6F72"/>
    <w:rsid w:val="05861D56"/>
    <w:rsid w:val="05930833"/>
    <w:rsid w:val="05B2462F"/>
    <w:rsid w:val="05E01F5E"/>
    <w:rsid w:val="06DE1A78"/>
    <w:rsid w:val="07222102"/>
    <w:rsid w:val="07C73582"/>
    <w:rsid w:val="084A7B62"/>
    <w:rsid w:val="085E259B"/>
    <w:rsid w:val="087D7E8A"/>
    <w:rsid w:val="08C276F9"/>
    <w:rsid w:val="08E43B13"/>
    <w:rsid w:val="0BE22DB5"/>
    <w:rsid w:val="0C78463A"/>
    <w:rsid w:val="0CBD4DA7"/>
    <w:rsid w:val="0D2648AF"/>
    <w:rsid w:val="0D6704D7"/>
    <w:rsid w:val="0E39220B"/>
    <w:rsid w:val="10D2076C"/>
    <w:rsid w:val="111C0D40"/>
    <w:rsid w:val="11245B2C"/>
    <w:rsid w:val="11673533"/>
    <w:rsid w:val="13734411"/>
    <w:rsid w:val="13C24A51"/>
    <w:rsid w:val="14641FAC"/>
    <w:rsid w:val="153732FA"/>
    <w:rsid w:val="1562473D"/>
    <w:rsid w:val="159D39C7"/>
    <w:rsid w:val="15FE13EF"/>
    <w:rsid w:val="17127A9D"/>
    <w:rsid w:val="18277578"/>
    <w:rsid w:val="195051C5"/>
    <w:rsid w:val="19E238A8"/>
    <w:rsid w:val="19FB1DD2"/>
    <w:rsid w:val="1A516B2E"/>
    <w:rsid w:val="1A6E128B"/>
    <w:rsid w:val="1BFE6F7E"/>
    <w:rsid w:val="1D7338DC"/>
    <w:rsid w:val="1D9456B0"/>
    <w:rsid w:val="1DD97567"/>
    <w:rsid w:val="1E5D1F46"/>
    <w:rsid w:val="1E975C23"/>
    <w:rsid w:val="1F131CC7"/>
    <w:rsid w:val="1F8452B0"/>
    <w:rsid w:val="206967F2"/>
    <w:rsid w:val="206C021E"/>
    <w:rsid w:val="228B08AF"/>
    <w:rsid w:val="22941B0B"/>
    <w:rsid w:val="232A296B"/>
    <w:rsid w:val="23B31FA0"/>
    <w:rsid w:val="23D26F32"/>
    <w:rsid w:val="23F32A04"/>
    <w:rsid w:val="24527160"/>
    <w:rsid w:val="246F29D3"/>
    <w:rsid w:val="24863CE7"/>
    <w:rsid w:val="24E444AE"/>
    <w:rsid w:val="25C5032F"/>
    <w:rsid w:val="25E83B22"/>
    <w:rsid w:val="25FD7D79"/>
    <w:rsid w:val="268F4C66"/>
    <w:rsid w:val="26C56BB7"/>
    <w:rsid w:val="26DA08E5"/>
    <w:rsid w:val="27D35027"/>
    <w:rsid w:val="28CF0F13"/>
    <w:rsid w:val="29B33362"/>
    <w:rsid w:val="29BE07EE"/>
    <w:rsid w:val="2A4D10C0"/>
    <w:rsid w:val="2A5108B6"/>
    <w:rsid w:val="2AB415EA"/>
    <w:rsid w:val="2B2067D5"/>
    <w:rsid w:val="2B287C65"/>
    <w:rsid w:val="2B9040DF"/>
    <w:rsid w:val="2C2045B2"/>
    <w:rsid w:val="2CF77A09"/>
    <w:rsid w:val="2D0058F7"/>
    <w:rsid w:val="2D452523"/>
    <w:rsid w:val="2D4D587B"/>
    <w:rsid w:val="2D535575"/>
    <w:rsid w:val="2D870D8D"/>
    <w:rsid w:val="2DB63420"/>
    <w:rsid w:val="2F1F6DA3"/>
    <w:rsid w:val="2F8001EC"/>
    <w:rsid w:val="2FA31782"/>
    <w:rsid w:val="2FB665E3"/>
    <w:rsid w:val="2FC71915"/>
    <w:rsid w:val="313E1763"/>
    <w:rsid w:val="31527E83"/>
    <w:rsid w:val="31A62EB9"/>
    <w:rsid w:val="31D0608E"/>
    <w:rsid w:val="323B5CA2"/>
    <w:rsid w:val="3336205B"/>
    <w:rsid w:val="337241D7"/>
    <w:rsid w:val="35CD57AB"/>
    <w:rsid w:val="36342E5E"/>
    <w:rsid w:val="3801798E"/>
    <w:rsid w:val="38F245D4"/>
    <w:rsid w:val="39B50F5D"/>
    <w:rsid w:val="3A2700A6"/>
    <w:rsid w:val="3ADE65DF"/>
    <w:rsid w:val="3B4275E9"/>
    <w:rsid w:val="3BA26D92"/>
    <w:rsid w:val="3CDE0024"/>
    <w:rsid w:val="3D616B1C"/>
    <w:rsid w:val="3DCF66DC"/>
    <w:rsid w:val="3E191F2E"/>
    <w:rsid w:val="3EAA6BA6"/>
    <w:rsid w:val="3FF878C8"/>
    <w:rsid w:val="403326AF"/>
    <w:rsid w:val="409749EB"/>
    <w:rsid w:val="413B7A6D"/>
    <w:rsid w:val="413E2D18"/>
    <w:rsid w:val="42083BD2"/>
    <w:rsid w:val="423168E5"/>
    <w:rsid w:val="436634C5"/>
    <w:rsid w:val="441D78FE"/>
    <w:rsid w:val="44D11536"/>
    <w:rsid w:val="46147B89"/>
    <w:rsid w:val="46841984"/>
    <w:rsid w:val="46D121A6"/>
    <w:rsid w:val="47EB2F2F"/>
    <w:rsid w:val="48F7696F"/>
    <w:rsid w:val="4A0A4BEE"/>
    <w:rsid w:val="4B1B12D4"/>
    <w:rsid w:val="4C866E6A"/>
    <w:rsid w:val="4CB16E35"/>
    <w:rsid w:val="4D950A65"/>
    <w:rsid w:val="4DD979A2"/>
    <w:rsid w:val="4F1958B6"/>
    <w:rsid w:val="4F477F24"/>
    <w:rsid w:val="510734C7"/>
    <w:rsid w:val="51115491"/>
    <w:rsid w:val="526F57C8"/>
    <w:rsid w:val="52A93633"/>
    <w:rsid w:val="5308418E"/>
    <w:rsid w:val="5354676C"/>
    <w:rsid w:val="54992125"/>
    <w:rsid w:val="54D85B73"/>
    <w:rsid w:val="55111005"/>
    <w:rsid w:val="55142657"/>
    <w:rsid w:val="56AE5BF6"/>
    <w:rsid w:val="5839580C"/>
    <w:rsid w:val="590216E2"/>
    <w:rsid w:val="59282B75"/>
    <w:rsid w:val="59705035"/>
    <w:rsid w:val="59B61F2F"/>
    <w:rsid w:val="5B8027F4"/>
    <w:rsid w:val="5CDA23D8"/>
    <w:rsid w:val="5D103F11"/>
    <w:rsid w:val="5D3C7483"/>
    <w:rsid w:val="5E3B3CA9"/>
    <w:rsid w:val="5E4A533B"/>
    <w:rsid w:val="5ECF7E6A"/>
    <w:rsid w:val="5F641A9C"/>
    <w:rsid w:val="6109503A"/>
    <w:rsid w:val="61293DF3"/>
    <w:rsid w:val="626E4457"/>
    <w:rsid w:val="62A647D1"/>
    <w:rsid w:val="62E13962"/>
    <w:rsid w:val="631E3BB5"/>
    <w:rsid w:val="63500CFE"/>
    <w:rsid w:val="63826106"/>
    <w:rsid w:val="64320851"/>
    <w:rsid w:val="660109D5"/>
    <w:rsid w:val="664639AE"/>
    <w:rsid w:val="67307FF7"/>
    <w:rsid w:val="67A64370"/>
    <w:rsid w:val="67AE2497"/>
    <w:rsid w:val="67BE2345"/>
    <w:rsid w:val="67CA1952"/>
    <w:rsid w:val="67E73E3E"/>
    <w:rsid w:val="6965153C"/>
    <w:rsid w:val="6ABD1736"/>
    <w:rsid w:val="6BA140C8"/>
    <w:rsid w:val="6C117498"/>
    <w:rsid w:val="6C866B92"/>
    <w:rsid w:val="6CBC11B2"/>
    <w:rsid w:val="6D1D6AC7"/>
    <w:rsid w:val="6DC63679"/>
    <w:rsid w:val="6F9F02B8"/>
    <w:rsid w:val="70861A93"/>
    <w:rsid w:val="709A3F00"/>
    <w:rsid w:val="70F52C00"/>
    <w:rsid w:val="70FE40FA"/>
    <w:rsid w:val="71083E8A"/>
    <w:rsid w:val="717C53B4"/>
    <w:rsid w:val="72AF1ABC"/>
    <w:rsid w:val="72E96A79"/>
    <w:rsid w:val="741E6BF6"/>
    <w:rsid w:val="741F0E1D"/>
    <w:rsid w:val="7420296E"/>
    <w:rsid w:val="74670AFC"/>
    <w:rsid w:val="75380FF2"/>
    <w:rsid w:val="75580781"/>
    <w:rsid w:val="759233F8"/>
    <w:rsid w:val="76A01B45"/>
    <w:rsid w:val="76C813BE"/>
    <w:rsid w:val="76FC7E98"/>
    <w:rsid w:val="775B081D"/>
    <w:rsid w:val="77C83F66"/>
    <w:rsid w:val="79B63FC5"/>
    <w:rsid w:val="7A146AD1"/>
    <w:rsid w:val="7A6E04BD"/>
    <w:rsid w:val="7A79462F"/>
    <w:rsid w:val="7B270DE1"/>
    <w:rsid w:val="7C4B2553"/>
    <w:rsid w:val="7C532BE5"/>
    <w:rsid w:val="7C5B6DBA"/>
    <w:rsid w:val="7C694787"/>
    <w:rsid w:val="7C6E40A4"/>
    <w:rsid w:val="7CBE4AD3"/>
    <w:rsid w:val="7D364FB1"/>
    <w:rsid w:val="7D3A189F"/>
    <w:rsid w:val="7D815226"/>
    <w:rsid w:val="7DB946A0"/>
    <w:rsid w:val="7DC720AD"/>
    <w:rsid w:val="7EB663A9"/>
    <w:rsid w:val="7FA1008C"/>
    <w:rsid w:val="7FCB0F44"/>
    <w:rsid w:val="7FCB59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qFormat="1" w:uiPriority="99" w:semiHidden="0" w:name="HTML Typewriter"/>
    <w:lsdException w:unhideWhenUsed="0" w:uiPriority="0" w:semiHidden="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7"/>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3"/>
    <w:qFormat/>
    <w:uiPriority w:val="9"/>
    <w:pPr>
      <w:keepNext/>
      <w:keepLines/>
      <w:spacing w:before="260" w:after="260" w:line="413" w:lineRule="auto"/>
      <w:outlineLvl w:val="1"/>
    </w:pPr>
    <w:rPr>
      <w:rFonts w:ascii="Arial" w:hAnsi="Arial" w:eastAsia="黑体" w:cs="Times New Roman"/>
      <w:b/>
      <w:bCs/>
      <w:sz w:val="32"/>
      <w:szCs w:val="32"/>
    </w:rPr>
  </w:style>
  <w:style w:type="paragraph" w:styleId="4">
    <w:name w:val="heading 3"/>
    <w:basedOn w:val="1"/>
    <w:next w:val="1"/>
    <w:link w:val="24"/>
    <w:qFormat/>
    <w:uiPriority w:val="0"/>
    <w:pPr>
      <w:keepNext/>
      <w:keepLines/>
      <w:spacing w:line="360" w:lineRule="auto"/>
      <w:outlineLvl w:val="2"/>
    </w:pPr>
    <w:rPr>
      <w:rFonts w:ascii="Calibri" w:hAnsi="Calibri" w:eastAsia="宋体" w:cs="Times New Roman"/>
      <w:b/>
      <w:bCs/>
      <w:sz w:val="24"/>
      <w:szCs w:val="32"/>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33"/>
    <w:qFormat/>
    <w:uiPriority w:val="0"/>
    <w:pPr>
      <w:jc w:val="left"/>
    </w:pPr>
    <w:rPr>
      <w:rFonts w:ascii="Times New Roman" w:hAnsi="Times New Roman"/>
      <w:szCs w:val="24"/>
    </w:rPr>
  </w:style>
  <w:style w:type="paragraph" w:styleId="6">
    <w:name w:val="Body Text Indent"/>
    <w:basedOn w:val="1"/>
    <w:link w:val="35"/>
    <w:unhideWhenUsed/>
    <w:qFormat/>
    <w:uiPriority w:val="99"/>
    <w:pPr>
      <w:ind w:left="645"/>
    </w:pPr>
    <w:rPr>
      <w:rFonts w:ascii="Times New Roman" w:hAnsi="Times New Roman" w:eastAsia="宋体" w:cs="Times New Roman"/>
      <w:sz w:val="28"/>
      <w:szCs w:val="24"/>
    </w:rPr>
  </w:style>
  <w:style w:type="paragraph" w:styleId="7">
    <w:name w:val="Plain Text"/>
    <w:basedOn w:val="1"/>
    <w:link w:val="29"/>
    <w:qFormat/>
    <w:uiPriority w:val="0"/>
    <w:rPr>
      <w:rFonts w:ascii="宋体" w:hAnsi="Courier New"/>
      <w:szCs w:val="24"/>
    </w:rPr>
  </w:style>
  <w:style w:type="paragraph" w:styleId="8">
    <w:name w:val="Date"/>
    <w:basedOn w:val="1"/>
    <w:next w:val="1"/>
    <w:link w:val="31"/>
    <w:unhideWhenUsed/>
    <w:qFormat/>
    <w:uiPriority w:val="99"/>
    <w:pPr>
      <w:ind w:left="100" w:leftChars="2500"/>
    </w:pPr>
  </w:style>
  <w:style w:type="paragraph" w:styleId="9">
    <w:name w:val="Balloon Text"/>
    <w:basedOn w:val="1"/>
    <w:link w:val="22"/>
    <w:qFormat/>
    <w:uiPriority w:val="99"/>
    <w:rPr>
      <w:sz w:val="18"/>
      <w:szCs w:val="18"/>
    </w:rPr>
  </w:style>
  <w:style w:type="paragraph" w:styleId="10">
    <w:name w:val="footer"/>
    <w:basedOn w:val="1"/>
    <w:link w:val="25"/>
    <w:qFormat/>
    <w:uiPriority w:val="99"/>
    <w:pPr>
      <w:tabs>
        <w:tab w:val="center" w:pos="4153"/>
        <w:tab w:val="right" w:pos="8306"/>
      </w:tabs>
      <w:snapToGrid w:val="0"/>
      <w:jc w:val="left"/>
    </w:pPr>
    <w:rPr>
      <w:sz w:val="18"/>
      <w:szCs w:val="18"/>
    </w:rPr>
  </w:style>
  <w:style w:type="paragraph" w:styleId="11">
    <w:name w:val="header"/>
    <w:basedOn w:val="1"/>
    <w:link w:val="21"/>
    <w:qFormat/>
    <w:uiPriority w:val="99"/>
    <w:pPr>
      <w:pBdr>
        <w:bottom w:val="single" w:color="auto" w:sz="6" w:space="1"/>
      </w:pBdr>
      <w:tabs>
        <w:tab w:val="center" w:pos="4153"/>
        <w:tab w:val="right" w:pos="8306"/>
      </w:tabs>
      <w:snapToGrid w:val="0"/>
      <w:jc w:val="center"/>
    </w:pPr>
    <w:rPr>
      <w:sz w:val="18"/>
      <w:szCs w:val="18"/>
    </w:rPr>
  </w:style>
  <w:style w:type="paragraph" w:styleId="12">
    <w:name w:val="Normal (Web)"/>
    <w:basedOn w:val="1"/>
    <w:unhideWhenUsed/>
    <w:qFormat/>
    <w:uiPriority w:val="99"/>
    <w:pPr>
      <w:widowControl/>
      <w:spacing w:before="100" w:beforeAutospacing="1" w:after="100" w:afterAutospacing="1"/>
      <w:jc w:val="left"/>
    </w:pPr>
    <w:rPr>
      <w:rFonts w:ascii="宋体" w:hAnsi="宋体" w:eastAsia="宋体" w:cs="Times New Roman"/>
      <w:kern w:val="0"/>
      <w:sz w:val="24"/>
    </w:rPr>
  </w:style>
  <w:style w:type="paragraph" w:styleId="13">
    <w:name w:val="annotation subject"/>
    <w:basedOn w:val="5"/>
    <w:next w:val="5"/>
    <w:link w:val="28"/>
    <w:unhideWhenUsed/>
    <w:qFormat/>
    <w:uiPriority w:val="99"/>
    <w:rPr>
      <w:b/>
      <w:bCs/>
      <w:szCs w:val="22"/>
    </w:rPr>
  </w:style>
  <w:style w:type="table" w:styleId="15">
    <w:name w:val="Table Grid"/>
    <w:basedOn w:val="14"/>
    <w:qFormat/>
    <w:uiPriority w:val="59"/>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basedOn w:val="16"/>
    <w:unhideWhenUsed/>
    <w:qFormat/>
    <w:uiPriority w:val="99"/>
  </w:style>
  <w:style w:type="character" w:styleId="18">
    <w:name w:val="HTML Typewriter"/>
    <w:unhideWhenUsed/>
    <w:qFormat/>
    <w:uiPriority w:val="99"/>
    <w:rPr>
      <w:rFonts w:ascii="Arial Unicode MS" w:hAnsi="Arial Unicode MS" w:eastAsia="Arial Unicode MS"/>
      <w:sz w:val="20"/>
    </w:rPr>
  </w:style>
  <w:style w:type="character" w:styleId="19">
    <w:name w:val="Hyperlink"/>
    <w:unhideWhenUsed/>
    <w:qFormat/>
    <w:uiPriority w:val="99"/>
    <w:rPr>
      <w:color w:val="0000FF"/>
      <w:u w:val="single"/>
    </w:rPr>
  </w:style>
  <w:style w:type="character" w:styleId="20">
    <w:name w:val="annotation reference"/>
    <w:basedOn w:val="16"/>
    <w:qFormat/>
    <w:uiPriority w:val="99"/>
    <w:rPr>
      <w:sz w:val="21"/>
      <w:szCs w:val="21"/>
    </w:rPr>
  </w:style>
  <w:style w:type="character" w:customStyle="1" w:styleId="21">
    <w:name w:val="页眉 字符"/>
    <w:basedOn w:val="16"/>
    <w:link w:val="11"/>
    <w:qFormat/>
    <w:uiPriority w:val="99"/>
    <w:rPr>
      <w:kern w:val="2"/>
      <w:sz w:val="18"/>
      <w:szCs w:val="18"/>
    </w:rPr>
  </w:style>
  <w:style w:type="character" w:customStyle="1" w:styleId="22">
    <w:name w:val="批注框文本 字符"/>
    <w:basedOn w:val="16"/>
    <w:link w:val="9"/>
    <w:qFormat/>
    <w:uiPriority w:val="99"/>
    <w:rPr>
      <w:kern w:val="2"/>
      <w:sz w:val="18"/>
      <w:szCs w:val="18"/>
    </w:rPr>
  </w:style>
  <w:style w:type="character" w:customStyle="1" w:styleId="23">
    <w:name w:val="标题 2 字符"/>
    <w:basedOn w:val="16"/>
    <w:link w:val="3"/>
    <w:qFormat/>
    <w:uiPriority w:val="0"/>
    <w:rPr>
      <w:rFonts w:ascii="Arial" w:hAnsi="Arial" w:eastAsia="黑体" w:cs="Times New Roman"/>
      <w:b/>
      <w:bCs/>
      <w:kern w:val="2"/>
      <w:sz w:val="32"/>
      <w:szCs w:val="32"/>
    </w:rPr>
  </w:style>
  <w:style w:type="character" w:customStyle="1" w:styleId="24">
    <w:name w:val="标题 3 字符"/>
    <w:basedOn w:val="16"/>
    <w:link w:val="4"/>
    <w:qFormat/>
    <w:uiPriority w:val="0"/>
    <w:rPr>
      <w:rFonts w:ascii="Calibri" w:hAnsi="Calibri" w:eastAsia="宋体" w:cs="Times New Roman"/>
      <w:b/>
      <w:bCs/>
      <w:kern w:val="2"/>
      <w:sz w:val="24"/>
      <w:szCs w:val="32"/>
    </w:rPr>
  </w:style>
  <w:style w:type="character" w:customStyle="1" w:styleId="25">
    <w:name w:val="页脚 字符"/>
    <w:link w:val="10"/>
    <w:qFormat/>
    <w:uiPriority w:val="99"/>
    <w:rPr>
      <w:kern w:val="2"/>
      <w:sz w:val="18"/>
      <w:szCs w:val="18"/>
    </w:rPr>
  </w:style>
  <w:style w:type="paragraph" w:customStyle="1" w:styleId="26">
    <w:name w:val="正文_0"/>
    <w:qFormat/>
    <w:uiPriority w:val="0"/>
    <w:pPr>
      <w:widowControl w:val="0"/>
      <w:jc w:val="both"/>
    </w:pPr>
    <w:rPr>
      <w:rFonts w:ascii="Calibri" w:hAnsi="Calibri" w:eastAsia="宋体" w:cs="Times New Roman"/>
      <w:kern w:val="2"/>
      <w:sz w:val="21"/>
      <w:szCs w:val="22"/>
      <w:lang w:val="en-US" w:eastAsia="zh-CN" w:bidi="ar-SA"/>
    </w:rPr>
  </w:style>
  <w:style w:type="character" w:customStyle="1" w:styleId="27">
    <w:name w:val="标题 1 字符"/>
    <w:basedOn w:val="16"/>
    <w:link w:val="2"/>
    <w:qFormat/>
    <w:uiPriority w:val="0"/>
    <w:rPr>
      <w:b/>
      <w:bCs/>
      <w:kern w:val="44"/>
      <w:sz w:val="44"/>
      <w:szCs w:val="44"/>
    </w:rPr>
  </w:style>
  <w:style w:type="character" w:customStyle="1" w:styleId="28">
    <w:name w:val="批注主题 字符"/>
    <w:link w:val="13"/>
    <w:qFormat/>
    <w:uiPriority w:val="99"/>
    <w:rPr>
      <w:rFonts w:ascii="Times New Roman" w:hAnsi="Times New Roman"/>
      <w:b/>
      <w:bCs/>
      <w:kern w:val="2"/>
      <w:sz w:val="21"/>
      <w:szCs w:val="22"/>
    </w:rPr>
  </w:style>
  <w:style w:type="character" w:customStyle="1" w:styleId="29">
    <w:name w:val="纯文本 字符"/>
    <w:link w:val="7"/>
    <w:qFormat/>
    <w:uiPriority w:val="0"/>
    <w:rPr>
      <w:rFonts w:ascii="宋体" w:hAnsi="Courier New"/>
      <w:kern w:val="2"/>
      <w:sz w:val="21"/>
      <w:szCs w:val="24"/>
    </w:rPr>
  </w:style>
  <w:style w:type="character" w:customStyle="1" w:styleId="30">
    <w:name w:val="批注文字 字符"/>
    <w:semiHidden/>
    <w:qFormat/>
    <w:uiPriority w:val="0"/>
    <w:rPr>
      <w:rFonts w:ascii="Times New Roman" w:hAnsi="Times New Roman"/>
      <w:kern w:val="2"/>
      <w:sz w:val="21"/>
      <w:szCs w:val="24"/>
    </w:rPr>
  </w:style>
  <w:style w:type="character" w:customStyle="1" w:styleId="31">
    <w:name w:val="日期 字符"/>
    <w:link w:val="8"/>
    <w:qFormat/>
    <w:uiPriority w:val="99"/>
    <w:rPr>
      <w:kern w:val="2"/>
      <w:sz w:val="21"/>
      <w:szCs w:val="22"/>
    </w:rPr>
  </w:style>
  <w:style w:type="character" w:customStyle="1" w:styleId="32">
    <w:name w:val="日期 字符1"/>
    <w:basedOn w:val="16"/>
    <w:qFormat/>
    <w:uiPriority w:val="0"/>
    <w:rPr>
      <w:kern w:val="2"/>
      <w:sz w:val="21"/>
      <w:szCs w:val="22"/>
    </w:rPr>
  </w:style>
  <w:style w:type="character" w:customStyle="1" w:styleId="33">
    <w:name w:val="批注文字 字符1"/>
    <w:basedOn w:val="16"/>
    <w:link w:val="5"/>
    <w:qFormat/>
    <w:uiPriority w:val="0"/>
    <w:rPr>
      <w:rFonts w:ascii="Times New Roman" w:hAnsi="Times New Roman"/>
      <w:kern w:val="2"/>
      <w:sz w:val="21"/>
      <w:szCs w:val="24"/>
    </w:rPr>
  </w:style>
  <w:style w:type="character" w:customStyle="1" w:styleId="34">
    <w:name w:val="批注主题 字符1"/>
    <w:basedOn w:val="33"/>
    <w:qFormat/>
    <w:uiPriority w:val="0"/>
    <w:rPr>
      <w:rFonts w:ascii="Times New Roman" w:hAnsi="Times New Roman"/>
      <w:b/>
      <w:bCs/>
      <w:kern w:val="2"/>
      <w:sz w:val="21"/>
      <w:szCs w:val="22"/>
    </w:rPr>
  </w:style>
  <w:style w:type="character" w:customStyle="1" w:styleId="35">
    <w:name w:val="正文文本缩进 字符"/>
    <w:basedOn w:val="16"/>
    <w:link w:val="6"/>
    <w:qFormat/>
    <w:uiPriority w:val="99"/>
    <w:rPr>
      <w:rFonts w:ascii="Times New Roman" w:hAnsi="Times New Roman" w:eastAsia="宋体" w:cs="Times New Roman"/>
      <w:kern w:val="2"/>
      <w:sz w:val="28"/>
      <w:szCs w:val="24"/>
    </w:rPr>
  </w:style>
  <w:style w:type="paragraph" w:styleId="36">
    <w:name w:val="List Paragraph"/>
    <w:basedOn w:val="1"/>
    <w:qFormat/>
    <w:uiPriority w:val="0"/>
    <w:pPr>
      <w:ind w:firstLine="420" w:firstLineChars="200"/>
    </w:pPr>
    <w:rPr>
      <w:rFonts w:ascii="Calibri" w:hAnsi="Calibri" w:eastAsia="宋体" w:cs="Times New Roman"/>
    </w:rPr>
  </w:style>
  <w:style w:type="paragraph" w:customStyle="1" w:styleId="37">
    <w:name w:val="p0"/>
    <w:basedOn w:val="1"/>
    <w:qFormat/>
    <w:uiPriority w:val="0"/>
    <w:pPr>
      <w:widowControl/>
    </w:pPr>
    <w:rPr>
      <w:rFonts w:ascii="Times New Roman" w:hAnsi="Times New Roman" w:eastAsia="宋体" w:cs="Times New Roman"/>
      <w:kern w:val="0"/>
    </w:rPr>
  </w:style>
  <w:style w:type="paragraph" w:customStyle="1" w:styleId="38">
    <w:name w:val="_Style 2"/>
    <w:basedOn w:val="1"/>
    <w:qFormat/>
    <w:uiPriority w:val="0"/>
    <w:pPr>
      <w:ind w:firstLine="420" w:firstLineChars="200"/>
    </w:pPr>
    <w:rPr>
      <w:rFonts w:ascii="Calibri" w:hAnsi="Calibri" w:eastAsia="宋体" w:cs="Times New Roman"/>
    </w:rPr>
  </w:style>
  <w:style w:type="paragraph" w:customStyle="1" w:styleId="39">
    <w:name w:val="列出段落1"/>
    <w:basedOn w:val="1"/>
    <w:qFormat/>
    <w:uiPriority w:val="0"/>
    <w:pPr>
      <w:ind w:firstLine="420" w:firstLineChars="200"/>
    </w:pPr>
    <w:rPr>
      <w:rFonts w:ascii="Calibri" w:hAnsi="Calibri" w:eastAsia="宋体" w:cs="Times New Roman"/>
    </w:rPr>
  </w:style>
  <w:style w:type="paragraph" w:customStyle="1" w:styleId="40">
    <w:name w:val="_Style 1"/>
    <w:basedOn w:val="1"/>
    <w:qFormat/>
    <w:uiPriority w:val="0"/>
    <w:pPr>
      <w:ind w:firstLine="420" w:firstLineChars="200"/>
    </w:pPr>
    <w:rPr>
      <w:rFonts w:ascii="Calibri" w:hAnsi="Calibri" w:eastAsia="宋体" w:cs="Times New Roman"/>
    </w:rPr>
  </w:style>
  <w:style w:type="paragraph" w:customStyle="1" w:styleId="41">
    <w:name w:val="正文_1"/>
    <w:qFormat/>
    <w:uiPriority w:val="0"/>
    <w:pPr>
      <w:widowControl w:val="0"/>
      <w:jc w:val="both"/>
    </w:pPr>
    <w:rPr>
      <w:rFonts w:ascii="Calibri" w:hAnsi="Calibri" w:eastAsia="宋体" w:cs="Times New Roman"/>
      <w:kern w:val="2"/>
      <w:sz w:val="21"/>
      <w:szCs w:val="22"/>
      <w:lang w:val="en-US" w:eastAsia="zh-CN" w:bidi="ar-SA"/>
    </w:rPr>
  </w:style>
  <w:style w:type="paragraph" w:customStyle="1" w:styleId="42">
    <w:name w:val="标题 2_0"/>
    <w:basedOn w:val="43"/>
    <w:next w:val="43"/>
    <w:unhideWhenUsed/>
    <w:qFormat/>
    <w:uiPriority w:val="9"/>
    <w:pPr>
      <w:keepNext/>
      <w:keepLines/>
      <w:widowControl w:val="0"/>
      <w:suppressLineNumbers w:val="0"/>
      <w:spacing w:before="60" w:beforeAutospacing="0" w:after="60" w:afterAutospacing="0" w:line="412" w:lineRule="auto"/>
      <w:jc w:val="both"/>
      <w:outlineLvl w:val="1"/>
    </w:pPr>
    <w:rPr>
      <w:rFonts w:hint="default" w:ascii="Arial" w:hAnsi="Arial" w:eastAsia="黑体" w:cs="Arial"/>
      <w:b/>
      <w:bCs/>
      <w:kern w:val="2"/>
      <w:sz w:val="21"/>
      <w:szCs w:val="21"/>
      <w:lang w:val="en-US" w:eastAsia="zh-CN" w:bidi="ar"/>
    </w:rPr>
  </w:style>
  <w:style w:type="paragraph" w:customStyle="1" w:styleId="43">
    <w:name w:val="正文_2"/>
    <w:qFormat/>
    <w:uiPriority w:val="0"/>
    <w:pPr>
      <w:widowControl w:val="0"/>
      <w:jc w:val="both"/>
    </w:pPr>
    <w:rPr>
      <w:rFonts w:ascii="Times New Roman" w:hAnsi="Times New Roman"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file:///C:\Users\admin\AppData\Local\Temp\ksohtml\wps8A52.tmp.png" TargetMode="External"/><Relationship Id="rId8" Type="http://schemas.openxmlformats.org/officeDocument/2006/relationships/image" Target="media/image2.png"/><Relationship Id="rId7" Type="http://schemas.openxmlformats.org/officeDocument/2006/relationships/image" Target="file:///C:\Users\admin\AppData\Local\Temp\ksohtml\wps8A51.tmp.png" TargetMode="Externa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file:///C:\Users\admin\AppData\Local\Temp\ksohtml\wps8AA6.tmp.png" TargetMode="External"/><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file:///C:\Users\admin\AppData\Local\Temp\ksohtml\wps8AA5.tmp.png" TargetMode="External"/><Relationship Id="rId18" Type="http://schemas.openxmlformats.org/officeDocument/2006/relationships/image" Target="media/image7.png"/><Relationship Id="rId17" Type="http://schemas.openxmlformats.org/officeDocument/2006/relationships/image" Target="file:///C:\Users\admin\AppData\Local\Temp\ksohtml\wps8A66.tmp.png" TargetMode="External"/><Relationship Id="rId16" Type="http://schemas.openxmlformats.org/officeDocument/2006/relationships/image" Target="media/image6.png"/><Relationship Id="rId15" Type="http://schemas.openxmlformats.org/officeDocument/2006/relationships/image" Target="file:///C:\Users\admin\AppData\Local\Temp\ksohtml\wps8A65.tmp.png" TargetMode="External"/><Relationship Id="rId14" Type="http://schemas.openxmlformats.org/officeDocument/2006/relationships/image" Target="media/image5.png"/><Relationship Id="rId13" Type="http://schemas.openxmlformats.org/officeDocument/2006/relationships/image" Target="file:///C:\Users\admin\AppData\Local\Temp\ksohtml\wps8A64.tmp.png" TargetMode="External"/><Relationship Id="rId12" Type="http://schemas.openxmlformats.org/officeDocument/2006/relationships/image" Target="media/image4.png"/><Relationship Id="rId11" Type="http://schemas.openxmlformats.org/officeDocument/2006/relationships/image" Target="file:///C:\Users\admin\AppData\Local\Temp\ksohtml\wps8A63.tmp.png" TargetMode="External"/><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37</Pages>
  <Words>14035</Words>
  <Characters>14893</Characters>
  <Lines>164</Lines>
  <Paragraphs>46</Paragraphs>
  <TotalTime>3</TotalTime>
  <ScaleCrop>false</ScaleCrop>
  <LinksUpToDate>false</LinksUpToDate>
  <CharactersWithSpaces>15717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Lui啊lui</cp:lastModifiedBy>
  <cp:lastPrinted>2026-04-28T08:12:00Z</cp:lastPrinted>
  <dcterms:modified xsi:type="dcterms:W3CDTF">2026-04-28T09:16:06Z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795EACC26EF34679AC3F95240021264B_12</vt:lpwstr>
  </property>
  <property fmtid="{D5CDD505-2E9C-101B-9397-08002B2CF9AE}" pid="4" name="KSOSaveFontToCloudKey">
    <vt:lpwstr>559408167_cloud</vt:lpwstr>
  </property>
  <property fmtid="{D5CDD505-2E9C-101B-9397-08002B2CF9AE}" pid="5" name="KSOTemplateDocerSaveRecord">
    <vt:lpwstr>eyJoZGlkIjoiZTlhYjUzOGJjNmFkMWRjOWVhNWUyMDljYWI5NjFlNzUiLCJ1c2VySWQiOiI1NTk0MDgxNjcifQ==</vt:lpwstr>
  </property>
</Properties>
</file>